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Decree.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Netherlands Indies)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as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1820. 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Buitenzorg),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tasked with seeking minerals and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 local 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and fauna. From 1839 to 1847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edited by C.J. Temminck, director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RNMH. After the dissolution of the commission in 1850, the publications, collected objects,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correspondence, etc. were included in the collection of the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Historie. The foundation of the present-day Naturalis collection is, thus, explicitly linked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past. Even after the Natuurkundige Commissie was disbanded, collectors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 and elsewhere were encouraged by the RMNH to continue making their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Geology and Mineralogy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40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collections of Amsterdam and Delft universities. Archives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ralis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physical library is now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1995 describing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former Nationaal Natuurhistorisch Museum from 1820 to 1958. Contains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