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Verslagleggen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deze zoekhulp vind je informatie over hoe je een verslag opstelt naar aanleiding van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(herkomst)onderzoek.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Herkomstverslag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doel van het herkomstverslag is om zowel het onderzoek zelf als de belangrijkste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gegevens die het heeft opgeleverd vast te leggen. Het is daarbij belangrijk om een zo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compleet mogelijk overzicht van de geraadpleegde bronnen te geven, ook als die niets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opleverden of tegenstrijdige informatie bevatten. Toekomstige herkomstonderzoekers kunnen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hierop voortbouwen.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herkomstverslag kan verschillende vormen krijgen. Er zijn geen officiële richtlijnen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verslaglegging van herkomstonderzoek van bijvoorbeeld de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Museumvereniging of de ICOM. In collectiebeherende instellingen worden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vormen soms gecombineerd of naast elkaar gebruikt. Voor enkele voorbeelden kan je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herkomstverslagen die zijn toegevoegd aan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gepubliceerde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adviezen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Commissie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Collecties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bekijken.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Tekstueel verslag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tekstueel verslag geeft een uitgebreid overzicht van het onderzoek. De opbouw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afhankelijk van het doel van het onderzoek. Verschillende inhoudelijke overwegingen bij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verslaglegging komen aan bod in de publicatie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Sporen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Hierin worden diverse opties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besproken, zoals verslaglegging aan de hand va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 een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fgebakende onderzoeksvraag of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chronologische volgorde en de mate van historische contextualisering. Voorbeelden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tekstuele verslagen zijn via de website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NIOD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raadpleegbaar.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Schematische weergave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schematische weergave van de herkomst is nuttig om de belangrijkste gegevens in één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oogopslag weer te geven. Dat kan in de vorm van een tijdlijn met de belangrijkste momenten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bezitsovergang of in de vorm van een herkomstzin: een gestandaardiseerde notatiewijze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bekende jaartallen, bezitters en hun woonplaatsen, gescheiden door leestekens.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schematische weergave worden ook eventuele lacunes in kennis opgenomen.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voorbeeld van een herkomstzin volgens het model uit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Yeide,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Konstantin,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Walsh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(2001)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Grafsteen (Aceh, 16de-18de eeuw), onbekende begraafplaats in Lhoknga, tot 1</w:t>
      </w:r>
      <w:r>
        <w:rPr>
          <w:u w:val="single" w:color="0066cc"/>
          <w:rFonts w:ascii="Charis SIL Italic" w:hAnsi="Charis SIL Italic" w:eastAsia="Charis SIL Italic"/>
          <w:b w:val="0"/>
          <w:i/>
          <w:color w:val="000000"/>
          <w:sz w:val="24"/>
        </w:rPr>
        <w:hyperlink r:id="rId12" w:history="1">
          <w:r>
            <w:rPr>
              <w:rStyle w:val="Hyperlink"/>
            </w:rPr>
            <w:t>901; (v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/>
          <w:color w:val="000000"/>
          <w:sz w:val="24"/>
        </w:rPr>
        <w:hyperlink r:id="rId12" w:history="1">
          <w:r>
            <w:rPr>
              <w:rStyle w:val="Hyperlink"/>
            </w:rPr>
            <w:t>erwijde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/>
          <w:color w:val="000000"/>
          <w:sz w:val="24"/>
        </w:rPr>
        <w:t>r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 Lhoknga door George Nijpels, 1901); geschonken aan Hoofdcursus, Kampen, 1902 tot 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overdracht aan Etnografisch Museum Koninklijke Militaire Academie, Breda 1923 tot 1956;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overdracht aan Rijksmuseum voor Volkenkunde / Wereldmuseum Leiden, 1956.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voorbeeld van een tijdlijn is:</w:t>
      </w:r>
    </w:p>
    <w:p>
      <w:pPr>
        <w:autoSpaceDN w:val="0"/>
        <w:autoSpaceDE w:val="0"/>
        <w:widowControl/>
        <w:spacing w:line="288" w:lineRule="exact" w:before="246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Bold" w:hAnsi="Charis SIL Bold" w:eastAsia="Charis SIL Bold"/>
          <w:b/>
          <w:i w:val="0"/>
          <w:color w:val="000000"/>
          <w:sz w:val="24"/>
        </w:rPr>
        <w:t>16de eeuw - 18de eeuw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Vervaardiging van de grafsteen.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Bold" w:hAnsi="Charis SIL Bold" w:eastAsia="Charis SIL Bold"/>
          <w:b/>
          <w:i w:val="0"/>
          <w:color w:val="000000"/>
          <w:sz w:val="24"/>
        </w:rPr>
        <w:t>16de/18de eeuw - voor 1901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Begraafplaats in Lhoknga.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Bold" w:hAnsi="Charis SIL Bold" w:eastAsia="Charis SIL Bold"/>
          <w:b/>
          <w:i w:val="0"/>
          <w:color w:val="000000"/>
          <w:sz w:val="24"/>
        </w:rPr>
        <w:t>1901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Verwijderd uit Lhoknga door George Nijpels.</w:t>
      </w:r>
    </w:p>
    <w:p>
      <w:pPr>
        <w:autoSpaceDN w:val="0"/>
        <w:autoSpaceDE w:val="0"/>
        <w:widowControl/>
        <w:spacing w:line="358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Bold" w:hAnsi="Charis SIL Bold" w:eastAsia="Charis SIL Bold"/>
          <w:b/>
          <w:i w:val="0"/>
          <w:color w:val="000000"/>
          <w:sz w:val="24"/>
        </w:rPr>
        <w:t>1902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Naar Nederland verzonden door George Nijpels.</w:t>
      </w:r>
    </w:p>
    <w:p>
      <w:pPr>
        <w:sectPr>
          <w:pgSz w:w="11900" w:h="16840"/>
          <w:pgMar w:top="448" w:right="976" w:bottom="42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tabs>
          <w:tab w:pos="600" w:val="left"/>
        </w:tabs>
        <w:autoSpaceDE w:val="0"/>
        <w:widowControl/>
        <w:spacing w:line="282" w:lineRule="exact" w:before="76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Bold" w:hAnsi="Charis SIL Bold" w:eastAsia="Charis SIL Bold"/>
          <w:b/>
          <w:i w:val="0"/>
          <w:color w:val="000000"/>
          <w:sz w:val="24"/>
        </w:rPr>
        <w:t>1902-1923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Hoofdcursus van de Koninklijke Militaire Academie te Kampen, na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schenking George Nijpels.</w:t>
      </w:r>
    </w:p>
    <w:p>
      <w:pPr>
        <w:autoSpaceDN w:val="0"/>
        <w:tabs>
          <w:tab w:pos="600" w:val="left"/>
        </w:tabs>
        <w:autoSpaceDE w:val="0"/>
        <w:widowControl/>
        <w:spacing w:line="282" w:lineRule="exact" w:before="76" w:after="0"/>
        <w:ind w:left="38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Bold" w:hAnsi="Charis SIL Bold" w:eastAsia="Charis SIL Bold"/>
          <w:b/>
          <w:i w:val="0"/>
          <w:color w:val="000000"/>
          <w:sz w:val="24"/>
        </w:rPr>
        <w:t>1923-1956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Etnografisch Museum van de Koninklijke Militaire Academie te Breda, na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overdracht van de Hoofdcursus te Kampen.</w:t>
      </w:r>
    </w:p>
    <w:p>
      <w:pPr>
        <w:autoSpaceDN w:val="0"/>
        <w:tabs>
          <w:tab w:pos="600" w:val="left"/>
        </w:tabs>
        <w:autoSpaceDE w:val="0"/>
        <w:widowControl/>
        <w:spacing w:line="282" w:lineRule="exact" w:before="76" w:after="0"/>
        <w:ind w:left="38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Bold" w:hAnsi="Charis SIL Bold" w:eastAsia="Charis SIL Bold"/>
          <w:b/>
          <w:i w:val="0"/>
          <w:color w:val="000000"/>
          <w:sz w:val="24"/>
        </w:rPr>
        <w:t>1956-heden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Rijksmuseum voor Volkenkunde / Wereldmuseum Leiden, na overdracht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de Koninklijke Militaire Academie te Breda.</w:t>
      </w:r>
    </w:p>
    <w:p>
      <w:pPr>
        <w:autoSpaceDN w:val="0"/>
        <w:autoSpaceDE w:val="0"/>
        <w:widowControl/>
        <w:spacing w:line="358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Gegevens koppelen</w:t>
      </w:r>
    </w:p>
    <w:p>
      <w:pPr>
        <w:autoSpaceDN w:val="0"/>
        <w:autoSpaceDE w:val="0"/>
        <w:widowControl/>
        <w:spacing w:line="288" w:lineRule="exact" w:before="23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musea is het naast tekstuele verslaglegging aan te raden om de herkomst ook vast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leggen in het collectiemanagementsysteem via een koppeling van alle met de herkomst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verbonden personen en instellingen aan het object. Het is ook nuttig om koppelingen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maken naar herkomstgebeurtenissen indien het collectiemanagementsysteem deze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mogelijkheid biedt. Op die manier zijn de herkomstgegevens gemakkelijker doorzoekbaar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koppelbaar aan externe bronnen.</w:t>
      </w:r>
    </w:p>
    <w:p>
      <w:pPr>
        <w:autoSpaceDN w:val="0"/>
        <w:autoSpaceDE w:val="0"/>
        <w:widowControl/>
        <w:spacing w:line="358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Afbeeldingen</w:t>
      </w:r>
    </w:p>
    <w:p>
      <w:pPr>
        <w:autoSpaceDN w:val="0"/>
        <w:autoSpaceDE w:val="0"/>
        <w:widowControl/>
        <w:spacing w:line="288" w:lineRule="exact" w:before="23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Historische foto's, plattegronden en andere illustraties kunnen het verslag verduidelijken. Dit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geldt eveneens voor foto's van het object en details daarvan. Versieringen en inscripties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kunnen bijvoorbeeld belangrijke informatie bevatten. Het is evenwel goed om er rekening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 te houden dat het afbeelden en/of bekijken van bepaalde objecten door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gemeenschappen van herkomst soms als ongewenst wordt beschouwd. Als er een vermoeden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bestaat dat dergelijke restricties van toepassing zijn, dan is het raadzaam advies te zoeken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deskundigen. Dit geldt in het bijzonder voor het afbeelden van voorouderlijke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(menselijke) resten. Daarnaast moet er rekening worden gehouden met de geldende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auteursrechten, indien het verslag openbaar wordt gemaakt.</w:t>
      </w:r>
    </w:p>
    <w:p>
      <w:pPr>
        <w:autoSpaceDN w:val="0"/>
        <w:autoSpaceDE w:val="0"/>
        <w:widowControl/>
        <w:spacing w:line="358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Taalgebruik</w:t>
      </w:r>
    </w:p>
    <w:p>
      <w:pPr>
        <w:autoSpaceDN w:val="0"/>
        <w:autoSpaceDE w:val="0"/>
        <w:widowControl/>
        <w:spacing w:line="288" w:lineRule="exact" w:before="23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bronnen zijn geschreven vanuit een perspectief dat koloniale overheersing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rechtvaardigt. Vaak worden er termen gebruikt die niet meer gebruikelijk zijn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tegenwoordig als ongepast en kwetsend worden beschouwd.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Bronnen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geeft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aanwijzingen over de omgang met verouderd taalgebruik in koloniale bro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nnen.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verslaglegging is het van belang om de historische woorden en begrippen – eventueel tussen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aanhalingstekens en voorzien van toelichting – te noemen indien ze noodzakelijk zijn om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objectgeschiedenis te begrijpen en verder onderzoek mogelijk te maken.</w:t>
      </w:r>
    </w:p>
    <w:p>
      <w:pPr>
        <w:autoSpaceDN w:val="0"/>
        <w:autoSpaceDE w:val="0"/>
        <w:widowControl/>
        <w:spacing w:line="288" w:lineRule="exact" w:before="240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publicatie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Woorden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doen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ertoe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Wereldmuseum geeft tips voor de omgang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koloniale term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inologie.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66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Onderzoeken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1044" w:bottom="1118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commissie.kolonialecollecties.nl/documenten?size=n_20_n&amp;filters%5B0%5D%5Bfield%5D=information_type&amp;filters%5B0%5D%5Bvalues%5D%5B0%5D=Advies&amp;filters%5B0%5D%5Btype%5D=all" TargetMode="External"/><Relationship Id="rId10" Type="http://schemas.openxmlformats.org/officeDocument/2006/relationships/hyperlink" Target="https://www.niod.nl/nl/projecten/pilotproject-provenance-research-objects-colonial-era-pproce" TargetMode="External"/><Relationship Id="rId11" Type="http://schemas.openxmlformats.org/officeDocument/2006/relationships/hyperlink" Target="https://niod.on.worldcat.org/search?queryString=se%3A%20PPROCE%20provenance%20reports%20%3B&amp;clusterResults=true&amp;groupVariantRecords=false&amp;page=1" TargetMode="External"/><Relationship Id="rId12" Type="http://schemas.openxmlformats.org/officeDocument/2006/relationships/hyperlink" Target="https://search.worldcat.org/title/The-AAM-guide-to-provenance-research/oclc/46671065" TargetMode="External"/><Relationship Id="rId13" Type="http://schemas.openxmlformats.org/officeDocument/2006/relationships/hyperlink" Target="https://app.colonialcollections.nl/nl/research-aids/https%3A%2F%2Fn2t%252Enet%2Fark%3A%2F27023%2F5f0031f66044adefab19b67b1344b31d" TargetMode="External"/><Relationship Id="rId14" Type="http://schemas.openxmlformats.org/officeDocument/2006/relationships/hyperlink" Target="https://www.tropenmuseum.nl/sites/default/files/2018-09/WordsMatter_DEF_Totale_PDF_NL_0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