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 en botanie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aangesteld als hoogleraar in verschillende disciplines. Reinwardt had zich zodoende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relatief korte periode weten op te werken tot een belangrijke persoon in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academische en bestuurlijke wereld. Het is dus ook niet verrassend dat Koning Willem 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het Nederlandse koninkrijk in 1813 weer hersteld was, Reinwardt aanstelde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van Landbouwkundige aangelegenheden, Wetenschappen en Kunsten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commissie die de Indische archipel, na het interregnum van de Britten, bestuurlijk opnieuw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 en etnografisch materiaal werd door Reinwardt naar Bogor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en tentoongesteld in een klein natuurhistorisch museum in de botanische tuin.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stuurde hij vele natuurhistorische objecten richting Europees Nederland, waar deze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beschikking kwamen aan de collectie van de koning,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Historie, dat later de basis zou vormen voor het Rijksmuseum van Natuurlijke Historie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bijgestaan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persoonlijke 've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rzamelaa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rs', waarvan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Jacob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D'Arnaud van Boeckholtz en August Fransz Treffz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verblijven en maakte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tijd een reis naar Timor, de Molukken en Celebes. Postuum, aan de hand van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oostelijk gedeelte 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Hortus Botanicus schreef Reinwardt een nieuwe catalogus, die hard nodig was na de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toevoegingen aan de collectie van de tuin. Ondertussen hadden andere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in Nederland niet stil gezeten, waardoor bijvoorbeeld de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geambieerde positie van directeur van het Rijksmuseum van Natuurlijke Historie al vergeven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1854 overleed Caspar Georg Carl Reinwardt. Hoewel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hij niet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al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ambities heeft kunnen voldoen, zoals zijn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aantekeningen omzetten in verschillende wetenschappelijke publicaties, heeft hij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nadrukkelijk zijn stempel gedrukt op de 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 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prof. C.G.C. Reinwardt, 1808-1828 (NL-HaNA,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2.21.204)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Haag. 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C. G. C., and Teunis Willem van Heiningen. The Correspondence of</w:t>
      </w:r>
    </w:p>
    <w:p>
      <w:pPr>
        <w:sectPr>
          <w:pgSz w:w="11900" w:h="16840"/>
          <w:pgMar w:top="324" w:right="105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8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2024-12-17</w:t>
      </w:r>
    </w:p>
    <w:sectPr w:rsidR="00FC693F" w:rsidRPr="0006063C" w:rsidSect="00034616">
      <w:pgSz w:w="11900" w:h="16840"/>
      <w:pgMar w:top="324" w:right="940" w:bottom="13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search.worldcat.org/title/71445372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doi.org/10.5962/bhl.title.114730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doi.org/10.1177/0073275314546970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