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history and bota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and ethnographic material to Bogor, where it was exhibited in a small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museum in the botanical garden. He also sent many natural history objects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Netherlands, where they were made available to ‘s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(the National Cabinet of Natural History), which would later form the foundation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During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assisted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persona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 ‘colle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most impor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tant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