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Writing a provenance report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this research aid you find information on how to draft a report of your findings.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The provenance report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purpose of a provenance report is to record both the research itself and the key data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produced. It is important that the report provides the most comprehensive overview possible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sources consulted, including those that did not yield anything or contained conflicting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information. Future provenance researchers can build on this.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provenance report can take different forms. There are no official guidelines for reporting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from organisations such as the Dutch Museum Association or ICOM.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Collection-managing institutions may combine different forms of reporting or use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alongside each other. For some examples, take a look at the provenance reports attached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published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advisory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Committee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Textual report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textual report provides a comprehensive overview of the research. The structure depends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purpose of the study. Various considerations regarding reporting content are discussed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publication looks at various reporting options,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reporting based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fined research question or chronological order, and the extent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contextualisation. Examples of textual reports can be found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Schematic representation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schematic representation of the object's provenance is useful to show the most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 at a glance. This can be in the form of a timeline showing key moments when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transferred or in the form of a provenance sentence: a standardised notation of 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years, possessors and their places of residence, separated by punctuation marks. Any gaps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knowledge are also included in the schematic representation.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of a provenance sentence based on the model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Akinsha,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Gravestone (Aceh, 16th-18th century), unknown burial site in Lhoknga, until 190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1; (rem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 xml:space="preserve">oved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Lhoknga by George Nijpels, 1901); donated to Hoofdcursus [officer training school], Kampen,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1902 to 1923; transfer to the Ethnographic Museum of the Royal Military Academy, Breda 1923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1956; transfer to Rijksmuseum voor Volkenkunde [National Museum of Ethnology]/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of a timeline:</w:t>
      </w:r>
    </w:p>
    <w:p>
      <w:pPr>
        <w:autoSpaceDN w:val="0"/>
        <w:autoSpaceDE w:val="0"/>
        <w:widowControl/>
        <w:spacing w:line="358" w:lineRule="exact" w:before="176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 century - 18th century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Manufacture of the gravestone.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16th/18th century - before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Cemetery in Lhoknga.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Removed from Lhoknga by George Nijpels.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Sent to the Netherlands by George Nijpels.</w:t>
      </w: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of the Royal Military Academy in Kampen, after donation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George Nijpels.</w:t>
      </w:r>
    </w:p>
    <w:p>
      <w:pPr>
        <w:sectPr>
          <w:pgSz w:w="11900" w:h="16840"/>
          <w:pgMar w:top="448" w:right="940" w:bottom="43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Ethnographic Museum of the Royal Military Academy in Breda, following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transfer from the Hoofdcursus in Kampen.</w:t>
      </w: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1956-present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after transfer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Royal Military Academy in Breda.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Linking data</w:t>
      </w:r>
    </w:p>
    <w:p>
      <w:pPr>
        <w:autoSpaceDN w:val="0"/>
        <w:autoSpaceDE w:val="0"/>
        <w:widowControl/>
        <w:spacing w:line="288" w:lineRule="exact" w:before="23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textual reporting it is advisable for museums to record the provenance data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collection management system by linking all individuals and institutions associated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provenance to the object. It is also useful to create links to specific events if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management system offers this option. This makes it easier to browse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data and link it to external sources.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Images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photographs, maps and other illustrations can be used to illustrate the report.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 applies to photographs of the object and its details; for example decorations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inscriptions may contain important information. However, it is good to keep in mind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depicting and/or examining certain objects may be considered undesirable by communities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origin. If it is suspected that any such restrictions exist, it is advisable to seek expert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advice. This applies in particular to the depiction of ancestral remains. In addition, if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report is made available to the public applicable copyright laws must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observed.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Language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are written from a perspective that justifies colonial rule and often use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 longer in use or are now considered inappropriate and offensive.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guidance on dealing with outdated language found in colonial sources.</w:t>
      </w: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When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riting a report it is important to cite historical words and terms – perhaps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quotation marks and accompanied by an explanatory note – if these are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understand the object history and enable future research.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5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ttee.kolonialecollecties.nl/publications?size=n_10_n&amp;filters%5B0%5D%5Bfield%5D=information_type&amp;filters%5B0%5D%5Bvalues%5D%5B0%5D=Advice&amp;filters%5B0%5D%5Btype%5D=all" TargetMode="External"/><Relationship Id="rId10" Type="http://schemas.openxmlformats.org/officeDocument/2006/relationships/hyperlink" Target="https://www.niod.nl/en/projects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amsterdam.wereldmuseum.nl/sites/default/files/2021-04/words_matter.pdf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