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Decree.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rlands Indies)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as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1820. 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Buitenzorg),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tasked with seeking minerals and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 local 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and fauna. From 1839 to 1847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edited by C.J. Temminck, director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RNMH. After the dissolution of the commission in 1850, the publications, collected objects,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correspondence, etc. were included in the collection of the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Historie. The foundation of the present-day Naturalis collection is, thus, explicitly linked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past. Even after the Natuurkundige Commissie was disbanded, collectors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 and elsewhere were encouraged by the RMNH to continue making their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Mineralogy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40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40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collections of Amsterdam and Delft universities. Archives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ralis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 house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physical library is now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1995 describing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former Nationaal Natuurhistorisch Museum from 1820 to 1958. Contains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