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Onderzoeken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deze zoekhulp vind je informatie over welke stappen je moet volgen voor het doen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(herkomst)onderzoek naar objecten afkomstig uit een koloniale context en hoe je relevante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informatie verzamelt voor je onderzoek.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Welke stappen kan je volgen?</w:t>
      </w:r>
    </w:p>
    <w:p>
      <w:pPr>
        <w:autoSpaceDN w:val="0"/>
        <w:autoSpaceDE w:val="0"/>
        <w:widowControl/>
        <w:spacing w:line="288" w:lineRule="exact" w:before="29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Herkomstonderzoek kan op verschillende manieren worden aangevangen. Afhankelijk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doel van je onderzoek doorloop je één of meerdere stappen. In de praktijk lopen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onderzoeksstappen in elkaar over en kunnen ze vaak gelijktijdig worden uitgevoerd. Veel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onderzoeksstappen staan uitgebreid beschreven in het rapport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Clues;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Research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into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 xml:space="preserve">provenance 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history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and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significan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</w:rPr>
        <w:hyperlink r:id="rId9" w:history="1">
          <w:r>
            <w:rPr>
              <w:rStyle w:val="Hyperlink"/>
            </w:rPr>
            <w:t>c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</w:rPr>
        <w:t>e of cultural objects and collections acquired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in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col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onial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situ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a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tion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 xml:space="preserve"> en de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public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 xml:space="preserve">tie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_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Herkomsto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nd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rzoek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aar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ob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j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ecte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uit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een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oloniale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co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ntext.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handre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iking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de Rijksdie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nst voor het Culture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l Erf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g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oed. On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er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 xml:space="preserve">an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eze zoek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h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ulp vind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 xml:space="preserve"> je 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en uitgebrei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lijst met relevant naslagwerk.</w:t>
      </w:r>
    </w:p>
    <w:p>
      <w:pPr>
        <w:autoSpaceDN w:val="0"/>
        <w:autoSpaceDE w:val="0"/>
        <w:widowControl/>
        <w:spacing w:line="358" w:lineRule="exact" w:before="176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Stap 1: Collectie-onderzoek</w:t>
      </w:r>
    </w:p>
    <w:p>
      <w:pPr>
        <w:autoSpaceDN w:val="0"/>
        <w:autoSpaceDE w:val="0"/>
        <w:widowControl/>
        <w:spacing w:line="352" w:lineRule="exact" w:before="17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Voor collectiebeheerders:</w:t>
      </w:r>
    </w:p>
    <w:p>
      <w:pPr>
        <w:autoSpaceDN w:val="0"/>
        <w:tabs>
          <w:tab w:pos="610" w:val="left"/>
        </w:tabs>
        <w:autoSpaceDE w:val="0"/>
        <w:widowControl/>
        <w:spacing w:line="288" w:lineRule="exact" w:before="240" w:after="0"/>
        <w:ind w:left="398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Welke delen van de collectie en periodes van verzameling zijn relevant voor nader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onderzoek?</w:t>
      </w:r>
    </w:p>
    <w:p>
      <w:pPr>
        <w:autoSpaceDN w:val="0"/>
        <w:autoSpaceDE w:val="0"/>
        <w:widowControl/>
        <w:spacing w:line="352" w:lineRule="exact" w:before="0" w:after="0"/>
        <w:ind w:left="398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Welke informatie kan voor grote delen van de collectie worden toegevoegd?</w:t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Voor onderzoekers:</w:t>
      </w:r>
    </w:p>
    <w:p>
      <w:pPr>
        <w:autoSpaceDN w:val="0"/>
        <w:tabs>
          <w:tab w:pos="610" w:val="left"/>
        </w:tabs>
        <w:autoSpaceDE w:val="0"/>
        <w:widowControl/>
        <w:spacing w:line="288" w:lineRule="exact" w:before="240" w:after="0"/>
        <w:ind w:left="398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Welke collecties zijn bovengemiddeld interessant en waar kwamen de door jou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onderzochte objecten doorgaans terecht.</w:t>
      </w:r>
    </w:p>
    <w:p>
      <w:pPr>
        <w:autoSpaceDN w:val="0"/>
        <w:autoSpaceDE w:val="0"/>
        <w:widowControl/>
        <w:spacing w:line="352" w:lineRule="exact" w:before="0" w:after="0"/>
        <w:ind w:left="398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Welke individuen of instellingen speelden daarbij een rol?</w:t>
      </w:r>
    </w:p>
    <w:p>
      <w:pPr>
        <w:autoSpaceDN w:val="0"/>
        <w:autoSpaceDE w:val="0"/>
        <w:widowControl/>
        <w:spacing w:line="288" w:lineRule="exact" w:before="240" w:after="0"/>
        <w:ind w:left="1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Voor meer informatie over hoe je objecten selecteert voor je onderzoek, zie de zoekhulp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Selecteren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afbakenen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58" w:lineRule="exact" w:before="176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Stap 2: Basisonderzoek</w:t>
      </w:r>
    </w:p>
    <w:p>
      <w:pPr>
        <w:autoSpaceDN w:val="0"/>
        <w:autoSpaceDE w:val="0"/>
        <w:widowControl/>
        <w:spacing w:line="288" w:lineRule="exact" w:before="234" w:after="0"/>
        <w:ind w:left="610" w:right="288" w:hanging="212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Het onderzoeken van het voorwerp zelf. Denk hierbij aan herkomstinformatie op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object in de vorm van gebruikssporen, nummeringen en informatiestickers, en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identificatie van de functie en de geografische en culturele herkomst.</w:t>
      </w:r>
    </w:p>
    <w:p>
      <w:pPr>
        <w:autoSpaceDN w:val="0"/>
        <w:tabs>
          <w:tab w:pos="610" w:val="left"/>
        </w:tabs>
        <w:autoSpaceDE w:val="0"/>
        <w:widowControl/>
        <w:spacing w:line="288" w:lineRule="exact" w:before="64" w:after="0"/>
        <w:ind w:left="398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Het raadplegen van de aanwezige collectiedocumentatie, zowel digitaal als op papier.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Het vaststellen van wie de huidige eigenaar het voorwerp heeft verworven, wanneer 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op welke wijze.</w:t>
      </w:r>
    </w:p>
    <w:p>
      <w:pPr>
        <w:autoSpaceDN w:val="0"/>
        <w:autoSpaceDE w:val="0"/>
        <w:widowControl/>
        <w:spacing w:line="288" w:lineRule="exact" w:before="64" w:after="0"/>
        <w:ind w:left="610" w:right="0" w:hanging="212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Onderzoek naar de instelling of persoon van wie het voorwerp is verworven, gericht op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vaststellen van diens identiteit, zoals volledige naam, geboorte- en sterftejaar,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beroep en plaats van vestiging en levensloop.</w:t>
      </w:r>
    </w:p>
    <w:p>
      <w:pPr>
        <w:autoSpaceDN w:val="0"/>
        <w:autoSpaceDE w:val="0"/>
        <w:widowControl/>
        <w:spacing w:line="358" w:lineRule="exact" w:before="176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4"/>
        </w:rPr>
        <w:t>Stap 3: Aanvullend onderzoek</w:t>
      </w:r>
    </w:p>
    <w:p>
      <w:pPr>
        <w:autoSpaceDN w:val="0"/>
        <w:autoSpaceDE w:val="0"/>
        <w:widowControl/>
        <w:spacing w:line="352" w:lineRule="exact" w:before="17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In de meeste gevallen zal basisonderzoek niet leiden tot informatie over de manier waarop</w:t>
      </w:r>
    </w:p>
    <w:p>
      <w:pPr>
        <w:sectPr>
          <w:pgSz w:w="11900" w:h="16840"/>
          <w:pgMar w:top="448" w:right="1006" w:bottom="478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voorwerp uit het gebied van herkomst is meegenomen. Hiervoor is aanvullend onderzoek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nodig.</w:t>
      </w:r>
    </w:p>
    <w:p>
      <w:pPr>
        <w:autoSpaceDN w:val="0"/>
        <w:autoSpaceDE w:val="0"/>
        <w:widowControl/>
        <w:spacing w:line="288" w:lineRule="exact" w:before="24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Uit het basisonderzoek komen wellicht één of meerdere personen of instellingen naar voren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die met de verwerving van het object zijn verbonden. Een veelgebruikte methode is om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onderzoek te vervolgen door eerst deze personen of instellingen te onderzoeken en daarna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steeds verder terug in de tijd te gaan aan de hand van de bronnen die naar voren komen. Een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andere methode gaat uit van het voorwerp zelf en de kennis die daarover bij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gemeenschappen van oorsprong aanwezig is en van daaruit in de tijd vooruit te werken.</w:t>
      </w:r>
    </w:p>
    <w:p>
      <w:pPr>
        <w:autoSpaceDN w:val="0"/>
        <w:autoSpaceDE w:val="0"/>
        <w:widowControl/>
        <w:spacing w:line="35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Beide methoden kunnen één of meerdere van de volgende stappen omvatten:</w:t>
      </w:r>
    </w:p>
    <w:p>
      <w:pPr>
        <w:autoSpaceDN w:val="0"/>
        <w:autoSpaceDE w:val="0"/>
        <w:widowControl/>
        <w:spacing w:line="352" w:lineRule="exact" w:before="176" w:after="0"/>
        <w:ind w:left="388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Onderzoek naar voorgaande bezitters en beheerders van het voorwerp.</w:t>
      </w:r>
    </w:p>
    <w:p>
      <w:pPr>
        <w:autoSpaceDN w:val="0"/>
        <w:tabs>
          <w:tab w:pos="600" w:val="left"/>
        </w:tabs>
        <w:autoSpaceDE w:val="0"/>
        <w:widowControl/>
        <w:spacing w:line="288" w:lineRule="exact" w:before="64" w:after="0"/>
        <w:ind w:left="388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Onderzoek naar de wijze van verwerving in de koloniale context en de bredere context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waarin dit plaatsvond.</w:t>
      </w:r>
    </w:p>
    <w:p>
      <w:pPr>
        <w:autoSpaceDN w:val="0"/>
        <w:autoSpaceDE w:val="0"/>
        <w:widowControl/>
        <w:spacing w:line="352" w:lineRule="exact" w:before="0" w:after="0"/>
        <w:ind w:left="388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Onderzoek naar het vroegere gebruik van het voorwerp.</w:t>
      </w:r>
    </w:p>
    <w:p>
      <w:pPr>
        <w:autoSpaceDN w:val="0"/>
        <w:autoSpaceDE w:val="0"/>
        <w:widowControl/>
        <w:spacing w:line="352" w:lineRule="exact" w:before="0" w:after="0"/>
        <w:ind w:left="388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Raadpleging van gemeenschappen van herkomst en andere deskundigen.</w:t>
      </w:r>
    </w:p>
    <w:p>
      <w:pPr>
        <w:autoSpaceDN w:val="0"/>
        <w:autoSpaceDE w:val="0"/>
        <w:widowControl/>
        <w:spacing w:line="288" w:lineRule="exact" w:before="24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Herkomstonderzoek naar individuele objecten is soms tijdrovend. Het onderzoek kan sneller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verlopen als er sprake is van meerdere objecten die op hetzelfde moment verworven zijn.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Zeker als er in de onderzoeksbronnen meerdere objecten worden genoemd.</w:t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Hoe kom je aan informatie?</w:t>
      </w:r>
    </w:p>
    <w:p>
      <w:pPr>
        <w:autoSpaceDN w:val="0"/>
        <w:autoSpaceDE w:val="0"/>
        <w:widowControl/>
        <w:spacing w:line="288" w:lineRule="exact" w:before="29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Bij herkomstonderzoek naar objecten die zijn verworven in een koloniale context wordt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gebruik gemaakt van een divers scala aan bronnen. In het verleden werd doorgaans weinig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belang gehecht aan informatie over de herkomst en vroegere eigenaren. Ook gaat het soms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om voorwerpen met geringe unieke identificatiewaarde. De informatie bij het object is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daarom geregeld summier en niet gericht op de herkomst van het object. Onderzoek dient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daarom breder te zijn dan naar documenten die informatie over het eigendom bevatten, zoals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testamenten, inventarislijsten en veilingcatalogi. Naast archieven kan ook gebruik worden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gemaakt van mondelinge bronnen, zoals deskundigen van binnen en buiten 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gemeenschappen van herkomst.</w:t>
      </w:r>
    </w:p>
    <w:p>
      <w:pPr>
        <w:autoSpaceDN w:val="0"/>
        <w:autoSpaceDE w:val="0"/>
        <w:widowControl/>
        <w:spacing w:line="288" w:lineRule="exact" w:before="24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ligt voor de hand in ieder geval de archieven te raadplegen van alle instellingen 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personen die het object in de loop der tijd in bezit of beheer hebben gehad. Ook bronnen die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inzicht geven in de historische context waarbinnen de verwerving plaatsvond kunnen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interessant zijn. Tips voor het zoeken in Nederlandse archieven vind je op YouTube-kanaal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Kennisnetwerk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Informatie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Archief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Specifiek voor het Nationaal Archief in Den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Haag is de zoekhulp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doe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ik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zoek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in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archieven?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gemaakt.</w:t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Mogelijke bronnen kunnen zijn:</w:t>
      </w:r>
    </w:p>
    <w:p>
      <w:pPr>
        <w:autoSpaceDN w:val="0"/>
        <w:tabs>
          <w:tab w:pos="600" w:val="left"/>
        </w:tabs>
        <w:autoSpaceDE w:val="0"/>
        <w:widowControl/>
        <w:spacing w:line="288" w:lineRule="exact" w:before="240" w:after="0"/>
        <w:ind w:left="388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Documentatie binnen de beherende instelling en voorgaande instellingen die het object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enige tijd in bezit hadden.</w:t>
      </w:r>
    </w:p>
    <w:p>
      <w:pPr>
        <w:autoSpaceDN w:val="0"/>
        <w:autoSpaceDE w:val="0"/>
        <w:widowControl/>
        <w:spacing w:line="288" w:lineRule="exact" w:before="64" w:after="0"/>
        <w:ind w:left="388" w:right="244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Persoonsarchieven en egodocumenten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Archieven van instellingen en overheden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Kranten, boeken en tijdschriften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Beeldmateriaal (bijvoorbeeld foto's en tekeningen)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Kaarten en plattegronden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Gemeenschappen in de gebieden van herkomst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•  Deskundigen met kennis van het object of het koloniale verleden</w:t>
      </w:r>
    </w:p>
    <w:p>
      <w:pPr>
        <w:autoSpaceDN w:val="0"/>
        <w:autoSpaceDE w:val="0"/>
        <w:widowControl/>
        <w:spacing w:line="288" w:lineRule="exact" w:before="24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zoekhulp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Bronnen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geeft informatie over waar deze bronnen te vinden zijn. Achtergronden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van personen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, kolonia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le instellingen en gebeurtenissen kunnen door middel van 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Datahub</w:t>
          </w:r>
        </w:hyperlink>
      </w:r>
    </w:p>
    <w:p>
      <w:pPr>
        <w:sectPr>
          <w:pgSz w:w="11900" w:h="16840"/>
          <w:pgMar w:top="324" w:right="960" w:bottom="372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worden achterhaald, of elders worden gevonden, zoals op Wikipedia bijvoorbeeld. Houd 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rekening mee dat in de Nederlandstalige versie van Wikipedia veelal informatie vanuit een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koloniaal perspectief ongefilterd is overgenomen. Het is daarom aanbevolen om ook altijd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versie in de taal van het herkomstgebied te raadplegen.</w:t>
      </w:r>
    </w:p>
    <w:p>
      <w:pPr>
        <w:autoSpaceDN w:val="0"/>
        <w:autoSpaceDE w:val="0"/>
        <w:widowControl/>
        <w:spacing w:line="288" w:lineRule="exact" w:before="24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Een aantal van de Nederlandse bronnen voor herkomstonderzoek naar koloniale collecties is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inmiddels gedigitaliseerd, hetgeen het onderzoek aanzienlijk vergemakkelijkt. Digitale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databanken worden voortdurend aangevuld. Het kan daarom lonen een onderzoek na enige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tijd te herhalen.</w:t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Literatuur over het doen van herkomstonderzoek</w:t>
      </w:r>
    </w:p>
    <w:p>
      <w:pPr>
        <w:autoSpaceDN w:val="0"/>
        <w:autoSpaceDE w:val="0"/>
        <w:widowControl/>
        <w:spacing w:line="288" w:lineRule="exact" w:before="294" w:after="0"/>
        <w:ind w:left="600" w:right="432" w:hanging="212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Mooren, Jona, Klaas Stutje.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Clues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Research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into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Provenance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History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and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Significanc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>e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o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</w:rPr>
        <w:t xml:space="preserve">f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>Cultural Objects and Collectio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ns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Ac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quired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in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Colo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nial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Situatio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ns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 xml:space="preserve"> (Am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terd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 xml:space="preserve">am: </w:t>
          </w:r>
        </w:hyperlink>
      </w:r>
      <w:r>
        <w:br/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Rijksmu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 xml:space="preserve">seum,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2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022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).</w:t>
          </w:r>
        </w:hyperlink>
      </w:r>
    </w:p>
    <w:p>
      <w:pPr>
        <w:autoSpaceDN w:val="0"/>
        <w:tabs>
          <w:tab w:pos="600" w:val="left"/>
        </w:tabs>
        <w:autoSpaceDE w:val="0"/>
        <w:widowControl/>
        <w:spacing w:line="288" w:lineRule="exact" w:before="64" w:after="0"/>
        <w:ind w:left="388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Pennock, Hanna, Renate Meijer.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Herkomstonderzoek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naar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objecten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uit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een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 xml:space="preserve">koloniale 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context.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Een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handreiking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(Amersfo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ort: Rijksdienst vo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r he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 xml:space="preserve"> Culture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 xml:space="preserve">el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rfg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ed, 202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5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).</w:t>
      </w:r>
    </w:p>
    <w:p>
      <w:pPr>
        <w:autoSpaceDN w:val="0"/>
        <w:tabs>
          <w:tab w:pos="600" w:val="left"/>
        </w:tabs>
        <w:autoSpaceDE w:val="0"/>
        <w:widowControl/>
        <w:spacing w:line="288" w:lineRule="exact" w:before="64" w:after="0"/>
        <w:ind w:left="388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 xml:space="preserve">Yeide,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anc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y, Konstantin Akinsha and Amy L. Walsh,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AAM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Guide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to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 xml:space="preserve">Provenance 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Research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(Washington D.C. 2001).</w:t>
      </w:r>
    </w:p>
    <w:p>
      <w:pPr>
        <w:autoSpaceDN w:val="0"/>
        <w:tabs>
          <w:tab w:pos="600" w:val="left"/>
        </w:tabs>
        <w:autoSpaceDE w:val="0"/>
        <w:widowControl/>
        <w:spacing w:line="288" w:lineRule="exact" w:before="64" w:after="0"/>
        <w:ind w:left="388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Lang, Sa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bine (ed.),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Guidelines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for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German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Museums.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Care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of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Collections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from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 xml:space="preserve">Colonial 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Contexts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 2nd Editio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n (Germa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n M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useums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Associatio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n, 20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19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).</w:t>
          </w:r>
        </w:hyperlink>
      </w:r>
    </w:p>
    <w:p>
      <w:pPr>
        <w:autoSpaceDN w:val="0"/>
        <w:tabs>
          <w:tab w:pos="600" w:val="left"/>
        </w:tabs>
        <w:autoSpaceDE w:val="0"/>
        <w:widowControl/>
        <w:spacing w:line="288" w:lineRule="exact" w:before="64" w:after="0"/>
        <w:ind w:left="388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Deterts, Dorothea (ed.),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Recommendations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for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the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Care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of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Human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Remains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in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Museums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 xml:space="preserve">and 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Collections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(German Mus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eums Association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,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 xml:space="preserve"> 2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0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13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)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.</w:t>
          </w:r>
        </w:hyperlink>
      </w:r>
    </w:p>
    <w:p>
      <w:pPr>
        <w:autoSpaceDN w:val="0"/>
        <w:tabs>
          <w:tab w:pos="600" w:val="left"/>
        </w:tabs>
        <w:autoSpaceDE w:val="0"/>
        <w:widowControl/>
        <w:spacing w:line="288" w:lineRule="exact" w:before="64" w:after="0"/>
        <w:ind w:left="388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 xml:space="preserve">Tips over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onderzoek in Nederlandse archieven zijn te vinden op de website van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Kennisnetwerk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Informatie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Archief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600" w:val="left"/>
        </w:tabs>
        <w:autoSpaceDE w:val="0"/>
        <w:widowControl/>
        <w:spacing w:line="288" w:lineRule="exact" w:before="64" w:after="0"/>
        <w:ind w:left="388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Specifiek voor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het doen v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 xml:space="preserve">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nderzo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ek binnen het Nationaal Archief is er de zoekhulp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Hoe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doe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ik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onderzoek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in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archieven?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4" w:after="0"/>
        <w:ind w:left="388" w:right="676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Bronnen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Selectere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 en afbakenen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Verslagleggen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Universitaire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collecties</w:t>
      </w:r>
    </w:p>
    <w:p>
      <w:pPr>
        <w:autoSpaceDN w:val="0"/>
        <w:autoSpaceDE w:val="0"/>
        <w:widowControl/>
        <w:spacing w:line="288" w:lineRule="exact" w:before="240" w:after="0"/>
        <w:ind w:left="0" w:right="3744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2024-04-25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2025-12-12</w:t>
      </w:r>
    </w:p>
    <w:sectPr w:rsidR="00FC693F" w:rsidRPr="0006063C" w:rsidSect="00034616">
      <w:pgSz w:w="11900" w:h="16840"/>
      <w:pgMar w:top="324" w:right="9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3mb4k8bvt6xe4.cloudfront.net/2022-03/Clues_Final_Report_PPROCE.pdf" TargetMode="External"/><Relationship Id="rId10" Type="http://schemas.openxmlformats.org/officeDocument/2006/relationships/hyperlink" Target="https://www.cultureelerfgoed.nl/documenten/2025/01/01/handreiking-herkomstonderzoek-objecten-uit-een-koloniale-context" TargetMode="External"/><Relationship Id="rId11" Type="http://schemas.openxmlformats.org/officeDocument/2006/relationships/hyperlink" Target="https://app.colonialcollections.nl/nl/research-aids/https%3A%2F%2Fn2t%252Enet%2Fark%3A%2F27023%2F2fbf96b4890fa2e37c7c711f524753c6" TargetMode="External"/><Relationship Id="rId12" Type="http://schemas.openxmlformats.org/officeDocument/2006/relationships/hyperlink" Target="https://www.youtube.com/@platformkia" TargetMode="External"/><Relationship Id="rId13" Type="http://schemas.openxmlformats.org/officeDocument/2006/relationships/hyperlink" Target="https://www.nationaalarchief.nl/onderzoeken/hoe-doe-ik-onderzoek-in-archieven" TargetMode="External"/><Relationship Id="rId14" Type="http://schemas.openxmlformats.org/officeDocument/2006/relationships/hyperlink" Target="https://app.colonialcollections.nl/nl/research-aids/https%3A%2F%2Fn2t%252Enet%2Fark%3A%2F27023%2F5f0031f66044adefab19b67b1344b31d" TargetMode="External"/><Relationship Id="rId15" Type="http://schemas.openxmlformats.org/officeDocument/2006/relationships/hyperlink" Target="https://app.colonialcollections.nl/nl/objects" TargetMode="External"/><Relationship Id="rId16" Type="http://schemas.openxmlformats.org/officeDocument/2006/relationships/hyperlink" Target="https://www.niod.nl/publicaties/sporen-PPROCE" TargetMode="External"/><Relationship Id="rId17" Type="http://schemas.openxmlformats.org/officeDocument/2006/relationships/hyperlink" Target="https://search.worldcat.org/title/The-AAM-guide-to-provenance-research/oclc/46671065" TargetMode="External"/><Relationship Id="rId18" Type="http://schemas.openxmlformats.org/officeDocument/2006/relationships/hyperlink" Target="https://www.museumsbund.de/publikationen/guidelines-on-dealing-with-collections-from-colonial-contexts-2/" TargetMode="External"/><Relationship Id="rId19" Type="http://schemas.openxmlformats.org/officeDocument/2006/relationships/hyperlink" Target="https://www.museumsbund.de/wp-content/uploads/2017/04/2013-recommendations-for-the-care-of-human-remains.pdf" TargetMode="External"/><Relationship Id="rId20" Type="http://schemas.openxmlformats.org/officeDocument/2006/relationships/hyperlink" Target="https://kiacommunity.nl/groups/186-archieftips-voor-beginners/welco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