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576" w:lineRule="exact" w:before="144" w:after="0"/>
        <w:ind w:left="10" w:right="864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 xml:space="preserve">De handel in objecten uit een koloniale </w:t>
      </w:r>
      <w:r>
        <w:rPr>
          <w:rFonts w:ascii="Charis SIL Bold" w:hAnsi="Charis SIL Bold" w:eastAsia="Charis SIL Bold"/>
          <w:b/>
          <w:i w:val="0"/>
          <w:color w:val="000000"/>
          <w:sz w:val="48"/>
        </w:rPr>
        <w:t>context</w:t>
      </w:r>
    </w:p>
    <w:p>
      <w:pPr>
        <w:autoSpaceDN w:val="0"/>
        <w:autoSpaceDE w:val="0"/>
        <w:widowControl/>
        <w:spacing w:line="540" w:lineRule="exact" w:before="21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288" w:lineRule="exact" w:before="292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handel in objecten uit gekoloniseerde gebieden speelde een centrale rol in de circulatie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van deze voorwerpen in Europa. Veel (etnografische) musea bouwden hun collecties op door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middel van aankopen bij handelaren.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Beschrijving</w:t>
      </w:r>
    </w:p>
    <w:p>
      <w:pPr>
        <w:autoSpaceDN w:val="0"/>
        <w:autoSpaceDE w:val="0"/>
        <w:widowControl/>
        <w:spacing w:line="288" w:lineRule="exact" w:before="2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handel in koloniale voorwerpen en goederen stond aan de basis van de vorming van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collecties in Nederland aan het eind van de achttiende en in de loop van de negentiende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eeuw. Handel en verkoop speelden een centrale rol in de circulatie van deze voorwerpen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Europa. Tegen het begin van de 20ste eeuw had de koloniale kunsthandel zich in Nederland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tot een bloeiende business ontwikkeld. Musea kochten regelmatig bij handelaren 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veilinghuizen, niet alleen in Nederland, maar ook in andere Europese koloniserende landen,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met name Duitsland, België, Frankrijk en Groot-Brittannië. Diezelfde handelaren 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veilinghuizen waren bronnen voor privécollecties, van waaruit voorwerpen soms later weer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in museumcollecties terechtkwamen.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Bekende handelaren die koloniale goederen aan musea en particulieren verkochten waren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firma’s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Lier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(1927-1996),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Aalderink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(1930-2023) en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Lemaire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(1933-heden) en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Amsterdamse veilinghuizen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Fr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ederik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Mu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ller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&amp;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Co.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(1876-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1961) 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Mak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 xml:space="preserve">Waay </w:t>
          </w:r>
        </w:hyperlink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(1918-1974). In Den Haag waren de winkels de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G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roote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Koninklijke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Baz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en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Boea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 xml:space="preserve">tan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(1903-1949) gespecialiseerd in oosterse kunstnij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verhei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d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.</w:t>
          </w:r>
        </w:hyperlink>
      </w:r>
    </w:p>
    <w:p>
      <w:pPr>
        <w:autoSpaceDN w:val="0"/>
        <w:autoSpaceDE w:val="0"/>
        <w:widowControl/>
        <w:spacing w:line="288" w:lineRule="exact" w:before="240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Een andere connectie met handel was de handel in koloniale producten en grondstoffen,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zoals rubber, ivoor, katoen en tabak. Ten behoeve van de handel in deze goederen werden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groothandelsfirma's opgericht. De medewerkers van deze handelshuizen verzamelden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(kunst)voorwerpen in het kielzog van hun werkzaamheden. Een voorbeeld is de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 xml:space="preserve">Nieuwe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Afrikaansche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Handels-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Vennootschap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N.V.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(NAHV, 1880-1982) die handel dreef in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Centr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al-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Afrika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. Een g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oot aant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 xml:space="preserve">al Afrikaanse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v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oorw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erpen, vooral uit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Congo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, is door persone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 xml:space="preserve">n die aan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dit be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drijf verbonden waren aan Nederlandse musea gescho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>nken.</w:t>
          </w:r>
        </w:hyperlink>
      </w:r>
    </w:p>
    <w:p>
      <w:pPr>
        <w:autoSpaceDN w:val="0"/>
        <w:autoSpaceDE w:val="0"/>
        <w:widowControl/>
        <w:spacing w:line="288" w:lineRule="exact" w:before="240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Naar de Nederlandse koloniale kunsthandel is nog weinig onderzoek gedaan. Er is meer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bekend over de invloed van de handel op de kunstproductie in de gekoloniseerde gebieden.</w:t>
      </w:r>
    </w:p>
    <w:p>
      <w:pPr>
        <w:autoSpaceDN w:val="0"/>
        <w:autoSpaceDE w:val="0"/>
        <w:widowControl/>
        <w:spacing w:line="288" w:lineRule="exact" w:before="64" w:after="0"/>
        <w:ind w:left="1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Gedurende de gehele koloniale periode zijn er kunstenaars en ambachtslieden uit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herkomstlanden geweest die inspeelden op de vraag naar objecten vanuit Europa. Deze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kunstenaars gingen zowel voor de eigen markt werken als voor de verkoop aan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buitenlanders. Ook de transacties van dit type objecten, dat vroeger bekend stond als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toeristenkunst, behoren tot de koloniale verzamelpraktijken.</w:t>
      </w:r>
    </w:p>
    <w:p>
      <w:pPr>
        <w:autoSpaceDN w:val="0"/>
        <w:autoSpaceDE w:val="0"/>
        <w:widowControl/>
        <w:spacing w:line="288" w:lineRule="exact" w:before="240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handel in koloniale objecten gaat door tot op de dag van vandaag. Daarom kan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herkomstonderzoek soms ook betrekking hebben op handelaren die na de koloniale periode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hun werkzaamheden begonnen of veilingen die recent hebben plaatsgehad.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Herkomstonderzoek</w:t>
      </w:r>
    </w:p>
    <w:p>
      <w:pPr>
        <w:autoSpaceDN w:val="0"/>
        <w:autoSpaceDE w:val="0"/>
        <w:widowControl/>
        <w:spacing w:line="354" w:lineRule="exact" w:before="21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Vergeleken met de handel in westerse kunst, worden de archieven van handelaren in</w:t>
      </w:r>
    </w:p>
    <w:p>
      <w:pPr>
        <w:sectPr>
          <w:pgSz w:w="11900" w:h="16840"/>
          <w:pgMar w:top="448" w:right="1026" w:bottom="382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etnografica en niet-westerse voorwerpen minder vaak bewaard in archiefinstellingen.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Wanneer handelaren in beide kunstgenres handelden, lijken soms alleen de archieven met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betrekking tot westerse kunst bewaard. Als er wel bedrijfsarchieven bewaard zijn, bevinden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die zich doorgaans in het archief van de gemeente waar het bedrijf gevestigd was. Ook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RKD (Nederlands Instituut voor Kunstgeschiedenis) en het Nationaal Archief beheren enkele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archieven van handelaren in kunst uit koloniën.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verband met de privacy-wetgeving geven veilinghuizen de namen van de inbrengers niet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prijs voor veilingen die korter dan 50 jaar geleden plaatsvonden. Toch loont het om navraag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te doen, al is het maar om een globale omschrijving van de inbrenger te krijgen. De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internationale veilinghuizen, zoals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Christie's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en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Sotheby's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hebben gespecialiseerde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medewerkers in dienst die inlichtin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gen verst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rek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 xml:space="preserve">ken voor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herkomstonderzoek. Een belangrijke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bron zijn catalogi van veilingen in niet-westerse voorwerpen.</w:t>
      </w:r>
    </w:p>
    <w:p>
      <w:pPr>
        <w:autoSpaceDN w:val="0"/>
        <w:autoSpaceDE w:val="0"/>
        <w:widowControl/>
        <w:spacing w:line="288" w:lineRule="exact" w:before="240" w:after="0"/>
        <w:ind w:left="1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bibliotheken van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RKD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(Nederlands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Instituut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voor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Kunstgeschiedenis)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en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Rijksmuseum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hebben om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1" w:history="1">
          <w:r>
            <w:rPr>
              <w:rStyle w:val="Hyperlink"/>
            </w:rPr>
            <w:t>van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1" w:history="1">
          <w:r>
            <w:rPr>
              <w:rStyle w:val="Hyperlink"/>
            </w:rPr>
            <w:t>g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1" w:history="1">
          <w:r>
            <w:rPr>
              <w:rStyle w:val="Hyperlink"/>
            </w:rPr>
            <w:t>rijke collect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1" w:history="1">
          <w:r>
            <w:rPr>
              <w:rStyle w:val="Hyperlink"/>
            </w:rPr>
            <w:t>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1" w:history="1">
          <w:r>
            <w:rPr>
              <w:rStyle w:val="Hyperlink"/>
            </w:rPr>
            <w:t>es catalo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1" w:history="1">
          <w:r>
            <w:rPr>
              <w:rStyle w:val="Hyperlink"/>
            </w:rPr>
            <w:t>g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1" w:history="1">
          <w:r>
            <w:rPr>
              <w:rStyle w:val="Hyperlink"/>
            </w:rPr>
            <w:t>i va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1" w:history="1">
          <w:r>
            <w:rPr>
              <w:rStyle w:val="Hyperlink"/>
            </w:rPr>
            <w:t>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1" w:history="1">
          <w:r>
            <w:rPr>
              <w:rStyle w:val="Hyperlink"/>
            </w:rPr>
            <w:t xml:space="preserve"> veilingen die in 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ederland zijn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2" w:history="1">
          <w:r>
            <w:rPr>
              <w:rStyle w:val="Hyperlink"/>
            </w:rPr>
            <w:t>gehouden, w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a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aronder ook veilingen van niet-westerse voorwerpen. Geannoteerde catalogi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bevatten soms aantekeningen over de voorwerpen, kopers en verkopers in een veiling.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gedigitaliseerde veilingcatalogi van het RKD zijn beschikbaar via de databank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Art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 xml:space="preserve">Sales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Catalogues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Online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 Deze databank is gratis te raadplegen op locatie in de Rijks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3" w:history="1">
          <w:r>
            <w:rPr>
              <w:rStyle w:val="Hyperlink"/>
            </w:rPr>
            <w:t>mu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3" w:history="1">
          <w:r>
            <w:rPr>
              <w:rStyle w:val="Hyperlink"/>
            </w:rPr>
            <w:t>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3" w:history="1">
          <w:r>
            <w:rPr>
              <w:rStyle w:val="Hyperlink"/>
            </w:rPr>
            <w:t xml:space="preserve">eum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3" w:history="1">
          <w:r>
            <w:rPr>
              <w:rStyle w:val="Hyperlink"/>
            </w:rPr>
            <w:t>Research L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3" w:history="1">
          <w:r>
            <w:rPr>
              <w:rStyle w:val="Hyperlink"/>
            </w:rPr>
            <w:t>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3" w:history="1">
          <w:r>
            <w:rPr>
              <w:rStyle w:val="Hyperlink"/>
            </w:rPr>
            <w:t>brary 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n het RKD.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Voor zowel het RKD als de Rijksmuseum Research Library geldt dat een groot deel van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catalogi nog niet digitaal is ontsloten en nog niet vindbaar in de bibliotheekcatalogus. Het is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wel mogelijk om contact op te nemen met beide bibliotheken, onder vermelding van datum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en naam van het veilinghuis, en dan kijken de medewerkers of de betreffende catalogus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aanwezig is.</w:t>
      </w:r>
    </w:p>
    <w:p>
      <w:pPr>
        <w:autoSpaceDN w:val="0"/>
        <w:autoSpaceDE w:val="0"/>
        <w:widowControl/>
        <w:spacing w:line="288" w:lineRule="exact" w:before="240" w:after="0"/>
        <w:ind w:left="1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Franse portal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AGORHA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bevat informatie over personen en instellingen die betrokken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waren bij de han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4" w:history="1">
          <w:r>
            <w:rPr>
              <w:rStyle w:val="Hyperlink"/>
            </w:rPr>
            <w:t>del in kun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st en archeologische voorwerpen.</w:t>
      </w:r>
    </w:p>
    <w:p>
      <w:pPr>
        <w:autoSpaceDN w:val="0"/>
        <w:autoSpaceDE w:val="0"/>
        <w:widowControl/>
        <w:spacing w:line="538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autoSpaceDN w:val="0"/>
        <w:autoSpaceDE w:val="0"/>
        <w:widowControl/>
        <w:spacing w:line="288" w:lineRule="exact" w:before="294" w:after="0"/>
        <w:ind w:left="398" w:right="302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Selecteren en afbakenen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Ambtenaren in gekoloni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seerde gebieden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Leger- en marinepersoneel in gekolonise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erde gebieden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Zendelingen en missionarissen in gekoloniseerde gebie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den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Ghana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Groote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Koninklijke Bazar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Internationale Koloniale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en Uitvoerhandel Tentoonstelling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Koninklijke Vereniging Vrienden der Aziatische Kunst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Kunsthandel Van Lier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Rijksmuseum Amster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dam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Volkenkundig Museum 'G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erardus van der Leeuw'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Amsterdam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Leiden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Rotter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dam</w:t>
      </w:r>
    </w:p>
    <w:p>
      <w:pPr>
        <w:autoSpaceDN w:val="0"/>
        <w:autoSpaceDE w:val="0"/>
        <w:widowControl/>
        <w:spacing w:line="538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Primary sources</w:t>
      </w:r>
    </w:p>
    <w:p>
      <w:pPr>
        <w:autoSpaceDN w:val="0"/>
        <w:autoSpaceDE w:val="0"/>
        <w:widowControl/>
        <w:spacing w:line="354" w:lineRule="exact" w:before="228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Database:</w:t>
      </w:r>
    </w:p>
    <w:p>
      <w:pPr>
        <w:autoSpaceDN w:val="0"/>
        <w:autoSpaceDE w:val="0"/>
        <w:widowControl/>
        <w:spacing w:line="352" w:lineRule="exact" w:before="176" w:after="0"/>
        <w:ind w:left="810" w:right="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Art Sales Catalogues Online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Database gebaseerd op het Répertoire des Catalogues</w:t>
      </w:r>
    </w:p>
    <w:p>
      <w:pPr>
        <w:sectPr>
          <w:pgSz w:w="11900" w:h="16840"/>
          <w:pgMar w:top="324" w:right="986" w:bottom="386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de Ventes Publiques door Frits Lugt. De gedigitaliseerde veilingcatalogi van het RKD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zijn ook via deze database toegankelijk.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23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23" w:history="1">
          <w:r>
            <w:rPr>
              <w:rStyle w:val="Hyperlink"/>
            </w:rPr>
            <w:t>primarysources.brillonline.com/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23" w:history="1">
          <w:r>
            <w:rPr>
              <w:rStyle w:val="Hyperlink"/>
            </w:rPr>
            <w:t>browse/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23" w:history="1">
          <w:r>
            <w:rPr>
              <w:rStyle w:val="Hyperlink"/>
            </w:rPr>
            <w:t>art-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23" w:history="1">
          <w:r>
            <w:rPr>
              <w:rStyle w:val="Hyperlink"/>
            </w:rPr>
            <w:t>sales-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23" w:history="1">
          <w:r>
            <w:rPr>
              <w:rStyle w:val="Hyperlink"/>
            </w:rPr>
            <w:t>catalogues-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23" w:history="1">
          <w:r>
            <w:rPr>
              <w:rStyle w:val="Hyperlink"/>
            </w:rPr>
            <w:t>online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Database:</w:t>
      </w:r>
    </w:p>
    <w:p>
      <w:pPr>
        <w:autoSpaceDN w:val="0"/>
        <w:autoSpaceDE w:val="0"/>
        <w:widowControl/>
        <w:spacing w:line="288" w:lineRule="exact" w:before="240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AGHORA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Database van het Franse nationale instituut voor kunstgeschiedenis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(INHA). Bevat informatie over personen en instellingen die betrokken waren bij de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handel in kunst en archeologische voorwerpen.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agorha.inha.fr</w:t>
          </w:r>
        </w:hyperlink>
      </w:r>
    </w:p>
    <w:p>
      <w:pPr>
        <w:autoSpaceDN w:val="0"/>
        <w:autoSpaceDE w:val="0"/>
        <w:widowControl/>
        <w:spacing w:line="538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Secondary sources</w:t>
      </w:r>
    </w:p>
    <w:p>
      <w:pPr>
        <w:autoSpaceDN w:val="0"/>
        <w:autoSpaceDE w:val="0"/>
        <w:widowControl/>
        <w:spacing w:line="352" w:lineRule="exact" w:before="23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Boek:</w:t>
      </w:r>
    </w:p>
    <w:p>
      <w:pPr>
        <w:autoSpaceDN w:val="0"/>
        <w:autoSpaceDE w:val="0"/>
        <w:widowControl/>
        <w:spacing w:line="288" w:lineRule="exact" w:before="240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Corbey, Raymond. Tribal art traffic: a chronicle of taste, trade and desire in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colonial an post-colonial times. Amsterdam: Royal Tropical Institute, 2000.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Boek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dat de handel in verschillende etnografische objecten beschrijft, met een focus op de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Lage Landen.</w:t>
      </w:r>
    </w:p>
    <w:p>
      <w:pPr>
        <w:autoSpaceDN w:val="0"/>
        <w:autoSpaceDE w:val="0"/>
        <w:widowControl/>
        <w:spacing w:line="288" w:lineRule="exact" w:before="240" w:after="0"/>
        <w:ind w:left="800" w:right="172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search.worldcat.org/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title/906982001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ISBN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9789068321975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WorldC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906982001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Boek:</w:t>
      </w:r>
    </w:p>
    <w:p>
      <w:pPr>
        <w:autoSpaceDN w:val="0"/>
        <w:autoSpaceDE w:val="0"/>
        <w:widowControl/>
        <w:spacing w:line="288" w:lineRule="exact" w:before="240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Willink, Joost. De bewogen verzamelgeschiedenis van de West-Centraal-Afrikaanse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collecties in Nederland (1856-1889). Proefschrift Universiteit Leiden, 2006.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Dissertatie van Joost Willink over de verzamelgeschiedenis van West-Centraal-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Afrikaanse collecties in Nederland.</w:t>
      </w:r>
    </w:p>
    <w:p>
      <w:pPr>
        <w:autoSpaceDN w:val="0"/>
        <w:autoSpaceDE w:val="0"/>
        <w:widowControl/>
        <w:spacing w:line="288" w:lineRule="exact" w:before="240" w:after="0"/>
        <w:ind w:left="800" w:right="158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scholarlypublications.universiteitleiden.nl/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handle/1887/4344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WorldC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71681153</w:t>
          </w:r>
        </w:hyperlink>
      </w:r>
    </w:p>
    <w:p>
      <w:pPr>
        <w:autoSpaceDN w:val="0"/>
        <w:autoSpaceDE w:val="0"/>
        <w:widowControl/>
        <w:spacing w:line="538" w:lineRule="exact" w:before="45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Relevant Data</w:t>
      </w:r>
    </w:p>
    <w:p>
      <w:pPr>
        <w:autoSpaceDN w:val="0"/>
        <w:autoSpaceDE w:val="0"/>
        <w:widowControl/>
        <w:spacing w:line="354" w:lineRule="exact" w:before="22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TO BE FILLED</w:t>
      </w:r>
    </w:p>
    <w:p>
      <w:pPr>
        <w:autoSpaceDN w:val="0"/>
        <w:autoSpaceDE w:val="0"/>
        <w:widowControl/>
        <w:spacing w:line="288" w:lineRule="exact" w:before="240" w:after="0"/>
        <w:ind w:left="0" w:right="3744" w:firstLine="0"/>
        <w:jc w:val="center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first edited by Wiebe Reints as original_author on 2024-03-26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last edited by Wiebe Reints as original_author on 2025-12-16</w:t>
      </w:r>
    </w:p>
    <w:sectPr w:rsidR="00FC693F" w:rsidRPr="0006063C" w:rsidSect="00034616">
      <w:pgSz w:w="11900" w:h="16840"/>
      <w:pgMar w:top="324" w:right="940" w:bottom="1440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pp.colonialcollections.nl/nl/research-aids/https%3A%2F%2Fn2t%252Enet%2Fark%3A%2F27023%2Fb4671e55ad5cca627bb7f16983388b7f" TargetMode="External"/><Relationship Id="rId10" Type="http://schemas.openxmlformats.org/officeDocument/2006/relationships/hyperlink" Target="https://data.rkd.nl/artists/437058" TargetMode="External"/><Relationship Id="rId11" Type="http://schemas.openxmlformats.org/officeDocument/2006/relationships/hyperlink" Target="https://data.rkd.nl/artists/446005" TargetMode="External"/><Relationship Id="rId12" Type="http://schemas.openxmlformats.org/officeDocument/2006/relationships/hyperlink" Target="https://www.wikidata.org/entity/Q18821838" TargetMode="External"/><Relationship Id="rId13" Type="http://schemas.openxmlformats.org/officeDocument/2006/relationships/hyperlink" Target="https://www.wikidata.org/entity/Q73900989" TargetMode="External"/><Relationship Id="rId14" Type="http://schemas.openxmlformats.org/officeDocument/2006/relationships/hyperlink" Target="https://app.colonialcollections.nl/nl/research-aids/https%3A%2F%2Fn2t%252Enet%2Fark%3A%2F27023%2F05a5c7a799263dcf493f0a7bdc2f525a" TargetMode="External"/><Relationship Id="rId15" Type="http://schemas.openxmlformats.org/officeDocument/2006/relationships/hyperlink" Target="https://www.wikidata.org/entity/Q101082502" TargetMode="External"/><Relationship Id="rId16" Type="http://schemas.openxmlformats.org/officeDocument/2006/relationships/hyperlink" Target="https://www.wikidata.org/entity/Q2543001" TargetMode="External"/><Relationship Id="rId17" Type="http://schemas.openxmlformats.org/officeDocument/2006/relationships/hyperlink" Target="https://sws.geonames.org/7729886" TargetMode="External"/><Relationship Id="rId18" Type="http://schemas.openxmlformats.org/officeDocument/2006/relationships/hyperlink" Target="https://sws.geonames.org/203312" TargetMode="External"/><Relationship Id="rId19" Type="http://schemas.openxmlformats.org/officeDocument/2006/relationships/hyperlink" Target="https://www.christies.com/" TargetMode="External"/><Relationship Id="rId20" Type="http://schemas.openxmlformats.org/officeDocument/2006/relationships/hyperlink" Target="https://www.sothebys.com/en/" TargetMode="External"/><Relationship Id="rId21" Type="http://schemas.openxmlformats.org/officeDocument/2006/relationships/hyperlink" Target="https://rkd.nl/nl/explore/library" TargetMode="External"/><Relationship Id="rId22" Type="http://schemas.openxmlformats.org/officeDocument/2006/relationships/hyperlink" Target="https://library.rijksmuseum.nl/cgi-bin/koha/opac-main.pl" TargetMode="External"/><Relationship Id="rId23" Type="http://schemas.openxmlformats.org/officeDocument/2006/relationships/hyperlink" Target="https://primarysources.brillonline.com/browse/art-sales-catalogues-online" TargetMode="External"/><Relationship Id="rId24" Type="http://schemas.openxmlformats.org/officeDocument/2006/relationships/hyperlink" Target="https://agorha.inha.fr" TargetMode="External"/><Relationship Id="rId25" Type="http://schemas.openxmlformats.org/officeDocument/2006/relationships/hyperlink" Target="https://search.worldcat.org/title/906982001" TargetMode="External"/><Relationship Id="rId26" Type="http://schemas.openxmlformats.org/officeDocument/2006/relationships/hyperlink" Target="https://isbnsearch.org/isbn/9789068321975" TargetMode="External"/><Relationship Id="rId27" Type="http://schemas.openxmlformats.org/officeDocument/2006/relationships/hyperlink" Target="https://scholarlypublications.universiteitleiden.nl/handle/1887/434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