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Decree. The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rlands Indies)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1820. 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Buitenzorg),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tasked with seeking minerals and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 local 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and fauna. From 1839 to 1847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edited by C.J. Temminck, director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RNMH. After the dissolution of the commission in 1850, the publications, collected objects,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correspondence, etc. were included in the collection of the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Historie. The foundation of the present-day Naturalis collection is, thus, explicitly linked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past. Even after the Natuurkundige Commissie was disbanded, collectors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 and elsewhere were encouraged by the RMNH to continue making their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collections of Amsterdam and Delft universities. Archives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ralis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1995 describing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former Nationaal Natuurhistorisch Museum from 1820 to 1958. Contains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