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voorzitter van de Yachtvereniging. Toen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uit schenkingen van onder andere zeelieden, handelaren en militairen.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de collectie Javaanse gebatikte doeken en andersoortige voorwerpen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van de negentiende eeuw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Advies van het museum plaatsnam,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aanmoedig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aan de gemeente Rotterdam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etnografisch museum te stichten. Vanaf het begin van de twintigste eeuw werd 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manier opgebouwd. Archief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Liane van der Linden en René Wassing. Schatten van het Museum voor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