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Prins 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als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bezit van de gemeente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