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ll as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After Boer's death, the business continued under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