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and ethnographic material to Bogor, where it was exhibited in a small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museum in the botanical garden. He also sent many natural history objects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Netherlands, where they were made available to ‘s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(the National Cabinet of Natural History), which would later form the foundation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During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els Reinward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was assisted by personal ‘collectors’, the most impor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tant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ions, such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been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8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