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buyers were private individuals,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museums,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