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Themes</w:t>
      </w:r>
    </w:p>
    <w:p>
      <w:pPr>
        <w:pStyle w:val="BodyText"/>
      </w:pPr>
    </w:p>
    <w:p>
      <w:pPr>
        <w:pStyle w:val="Heading1"/>
      </w:pPr>
      <w:r>
        <w:t>Abstract</w:t>
      </w:r>
    </w:p>
    <w:p>
      <w:pPr>
        <w:pStyle w:val="BodyText"/>
      </w:pPr>
    </w:p>
    <w:p>
      <w:pPr>
        <w:pStyle w:val="BodyText"/>
      </w:pPr>
      <w:r>
        <w:t>This page is under construction</w:t>
      </w:r>
    </w:p>
    <w:p>
      <w:pPr>
        <w:pStyle w:val="BodyText"/>
      </w:pPr>
    </w:p>
    <w:p>
      <w:pPr>
        <w:pStyle w:val="BodyText"/>
      </w:pPr>
      <w:r>
        <w:t>This page is under construction.</w:t>
      </w:r>
    </w:p>
    <w:p>
      <w:pPr>
        <w:pStyle w:val="BodyText"/>
      </w:pPr>
    </w:p>
    <w:p>
      <w:pPr>
        <w:pStyle w:val="Heading1"/>
      </w:pPr>
      <w:r>
        <w:t>Related Aids</w:t>
      </w:r>
    </w:p>
    <w:p>
      <w:pPr>
        <w:pStyle w:val="BodyText"/>
      </w:pPr>
    </w:p>
    <w:p>
      <w:pPr>
        <w:pStyle w:val="ListBullet"/>
      </w:pPr>
      <w:r>
        <w:t>Christian missionaries in colonised territories</w:t>
      </w:r>
    </w:p>
    <w:p>
      <w:pPr>
        <w:pStyle w:val="ListBullet"/>
      </w:pPr>
      <w:r>
        <w:t>Civil servants in colonised territories</w:t>
      </w:r>
    </w:p>
    <w:p>
      <w:pPr>
        <w:pStyle w:val="ListBullet"/>
      </w:pPr>
      <w:r>
        <w:t>Army and navy personnel in colonised territories</w:t>
      </w:r>
    </w:p>
    <w:p>
      <w:pPr>
        <w:pStyle w:val="ListBullet"/>
      </w:pPr>
      <w:r>
        <w:t>Scientific research in colonised territories</w:t>
      </w:r>
    </w:p>
    <w:p>
      <w:pPr>
        <w:pStyle w:val="ListBullet"/>
      </w:pPr>
      <w:r>
        <w:t>The trade in objects from a colonial context</w:t>
      </w:r>
    </w:p>
    <w:p>
      <w:pPr>
        <w:pStyle w:val="BodyText"/>
      </w:pPr>
    </w:p>
    <w:p>
      <w:pPr>
        <w:pStyle w:val="Heading1"/>
      </w:pPr>
      <w:r>
        <w:t>Primary Sources</w:t>
      </w:r>
    </w:p>
    <w:p>
      <w:pPr>
        <w:pStyle w:val="BodyText"/>
      </w:pPr>
    </w:p>
    <w:p>
      <w:pPr>
        <w:pStyle w:val="Heading1"/>
      </w:pPr>
      <w:r>
        <w:t>Secondary sources</w:t>
      </w:r>
    </w:p>
    <w:p>
      <w:pPr>
        <w:pStyle w:val="BodyText"/>
      </w:pPr>
    </w:p>
    <w:p>
      <w:pPr>
        <w:jc w:val="center"/>
      </w:pPr>
      <w:r>
        <w:t>________________________________________________________________________________</w:t>
      </w:r>
    </w:p>
    <w:p>
      <w:pPr>
        <w:pStyle w:val="BodyText"/>
      </w:pPr>
    </w:p>
    <w:p>
      <w:pPr>
        <w:pStyle w:val="Heading1"/>
      </w:pPr>
      <w:r>
        <w:t>Relevant Data</w:t>
      </w:r>
    </w:p>
    <w:p>
      <w:pPr>
        <w:pStyle w:val="BodyText"/>
      </w:pPr>
    </w:p>
    <w:p>
      <w:pPr>
        <w:pStyle w:val="BodyText"/>
      </w:pPr>
      <w:r>
        <w:t>TO BE FILLED</w:t>
      </w:r>
    </w:p>
    <w:p>
      <w:pPr>
        <w:pStyle w:val="BodyText"/>
      </w:pPr>
    </w:p>
    <w:p>
      <w:pPr>
        <w:pStyle w:val="BodyText"/>
      </w:pPr>
      <w:r>
        <w:t>_last edited by Wiebe Reints as original_author on 2025-06-12_</w:t>
      </w:r>
    </w:p>
    <w:p>
      <w:pPr>
        <w:pStyle w:val="BodyText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