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relevante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(manumissies) 1722 - 1863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