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Heading1"/>
      </w:pPr>
      <w:r>
        <w:t>Herkomstverslag</w:t>
      </w:r>
    </w:p>
    <w:p>
      <w:pPr>
        <w:pStyle w:val="BodyText"/>
      </w:pPr>
    </w:p>
    <w:p>
      <w:pPr>
        <w:pStyle w:val="BodyText"/>
      </w:pPr>
      <w:r>
        <w:t>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w:t>
      </w:r>
    </w:p>
    <w:p>
      <w:pPr>
        <w:pStyle w:val="BodyText"/>
      </w:pPr>
    </w:p>
    <w:p>
      <w:pPr>
        <w:pStyle w:val="BodyText"/>
      </w:pPr>
      <w:r>
        <w:t>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w:t>
      </w:r>
    </w:p>
    <w:p>
      <w:pPr>
        <w:pStyle w:val="BodyText"/>
      </w:pPr>
    </w:p>
    <w:p>
      <w:pPr>
        <w:pStyle w:val="BodyText"/>
      </w:pPr>
      <w:r>
        <w:t>Tekstueel verslag</w:t>
      </w:r>
    </w:p>
    <w:p>
      <w:pPr>
        <w:pStyle w:val="BodyText"/>
      </w:pPr>
    </w:p>
    <w:p>
      <w:pPr>
        <w:pStyle w:val="BodyText"/>
      </w:pPr>
      <w:r>
        <w:t>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w:t>
      </w:r>
    </w:p>
    <w:p>
      <w:pPr>
        <w:pStyle w:val="BodyText"/>
      </w:pPr>
    </w:p>
    <w:p>
      <w:pPr>
        <w:pStyle w:val="BodyText"/>
      </w:pPr>
      <w:r>
        <w:t>Schematische weergave</w:t>
      </w:r>
    </w:p>
    <w:p>
      <w:pPr>
        <w:pStyle w:val="BodyText"/>
      </w:pPr>
    </w:p>
    <w:p>
      <w:pPr>
        <w:pStyle w:val="BodyText"/>
      </w:pPr>
      <w:r>
        <w:t>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w:t>
      </w:r>
    </w:p>
    <w:p>
      <w:pPr>
        <w:pStyle w:val="BodyText"/>
      </w:pPr>
    </w:p>
    <w:p>
      <w:pPr>
        <w:pStyle w:val="BodyText"/>
      </w:pPr>
      <w:r>
        <w:t>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w:t>
      </w:r>
    </w:p>
    <w:p>
      <w:pPr>
        <w:pStyle w:val="BodyText"/>
      </w:pPr>
    </w:p>
    <w:p>
      <w:pPr>
        <w:pStyle w:val="BodyText"/>
      </w:pPr>
      <w:r>
        <w:t>Een voorbeeld van een tijdlijn is:</w:t>
      </w:r>
    </w:p>
    <w:p>
      <w:pPr>
        <w:pStyle w:val="BodyText"/>
      </w:pPr>
    </w:p>
    <w:p>
      <w:pPr>
        <w:pStyle w:val="ListBullet"/>
      </w:pPr>
      <w:r>
        <w:t>16de eeuw - 18de eeuw</w:t>
      </w:r>
    </w:p>
    <w:p>
      <w:pPr>
        <w:pStyle w:val="ListBullet"/>
      </w:pPr>
      <w:r>
        <w:t>Vervaardiging van de grafsteen.</w:t>
      </w:r>
    </w:p>
    <w:p>
      <w:pPr>
        <w:pStyle w:val="ListBullet"/>
      </w:pPr>
      <w:r>
        <w:t>16de/18de eeuw - voor 1901</w:t>
      </w:r>
    </w:p>
    <w:p>
      <w:pPr>
        <w:pStyle w:val="ListBullet"/>
      </w:pPr>
      <w:r>
        <w:t>Begraafplaats in Lhoknga.</w:t>
      </w:r>
    </w:p>
    <w:p>
      <w:pPr>
        <w:pStyle w:val="ListBullet"/>
      </w:pPr>
      <w:r>
        <w:t>1901</w:t>
      </w:r>
    </w:p>
    <w:p>
      <w:pPr>
        <w:pStyle w:val="ListBullet"/>
      </w:pPr>
      <w:r>
        <w:t>Verwijderd uit Lhoknga door George Nijpels.</w:t>
      </w:r>
    </w:p>
    <w:p>
      <w:pPr>
        <w:pStyle w:val="ListBullet"/>
      </w:pPr>
      <w:r>
        <w:t>1902</w:t>
      </w:r>
    </w:p>
    <w:p>
      <w:pPr>
        <w:pStyle w:val="ListBullet"/>
      </w:pPr>
      <w:r>
        <w:t>Naar Nederland verzonden door George Nijpels.</w:t>
      </w:r>
    </w:p>
    <w:p>
      <w:pPr>
        <w:pStyle w:val="ListBullet"/>
      </w:pPr>
      <w:r>
        <w:t>1902-1923</w:t>
      </w:r>
    </w:p>
    <w:p>
      <w:pPr>
        <w:pStyle w:val="ListBullet"/>
      </w:pPr>
      <w:r>
        <w:t>Hoofdcursus van de Koninklijke Militaire Academie te Kampen, na schenking George Nijpels.</w:t>
      </w:r>
    </w:p>
    <w:p>
      <w:pPr>
        <w:pStyle w:val="ListBullet"/>
      </w:pPr>
      <w:r>
        <w:t>1923-1956</w:t>
      </w:r>
    </w:p>
    <w:p>
      <w:pPr>
        <w:pStyle w:val="ListBullet"/>
      </w:pPr>
      <w:r>
        <w:t>Etnografisch Museum van de Koninklijke Militaire Academie te Breda, na overdracht van de Hoofdcursus te Kampen.</w:t>
      </w:r>
    </w:p>
    <w:p>
      <w:pPr>
        <w:pStyle w:val="ListBullet"/>
      </w:pPr>
      <w:r>
        <w:t>1956-heden</w:t>
      </w:r>
    </w:p>
    <w:p>
      <w:pPr>
        <w:pStyle w:val="ListBullet"/>
      </w:pPr>
      <w:r>
        <w:t>Rijksmuseum voor Volkenkunde / Wereldmuseum Leiden, na overdracht van de Koninklijke Militaire Academie te Breda.</w:t>
      </w:r>
    </w:p>
    <w:p>
      <w:pPr>
        <w:pStyle w:val="BodyText"/>
      </w:pPr>
    </w:p>
    <w:p>
      <w:pPr>
        <w:pStyle w:val="BodyText"/>
      </w:pPr>
      <w:r>
        <w:t>Gegevens koppelen</w:t>
      </w:r>
    </w:p>
    <w:p>
      <w:pPr>
        <w:pStyle w:val="BodyText"/>
      </w:pPr>
    </w:p>
    <w:p>
      <w:pPr>
        <w:pStyle w:val="BodyText"/>
      </w:pPr>
      <w:r>
        <w:t>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w:t>
      </w:r>
    </w:p>
    <w:p>
      <w:pPr>
        <w:pStyle w:val="BodyText"/>
      </w:pPr>
    </w:p>
    <w:p>
      <w:pPr>
        <w:pStyle w:val="BodyText"/>
      </w:pPr>
      <w:r>
        <w:t>Afbeeldingen</w:t>
      </w:r>
    </w:p>
    <w:p>
      <w:pPr>
        <w:pStyle w:val="BodyText"/>
      </w:pPr>
    </w:p>
    <w:p>
      <w:pPr>
        <w:pStyle w:val="BodyText"/>
      </w:pPr>
      <w:r>
        <w:t>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w:t>
      </w:r>
    </w:p>
    <w:p>
      <w:pPr>
        <w:pStyle w:val="BodyText"/>
      </w:pPr>
    </w:p>
    <w:p>
      <w:pPr>
        <w:pStyle w:val="BodyText"/>
      </w:pPr>
      <w:r>
        <w:t>Taalgebruik</w:t>
      </w:r>
    </w:p>
    <w:p>
      <w:pPr>
        <w:pStyle w:val="BodyText"/>
      </w:pPr>
    </w:p>
    <w:p>
      <w:pPr>
        <w:pStyle w:val="BodyText"/>
      </w:pPr>
      <w:r>
        <w:t>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w:t>
      </w:r>
    </w:p>
    <w:p>
      <w:pPr>
        <w:pStyle w:val="BodyText"/>
      </w:pPr>
    </w:p>
    <w:p>
      <w:pPr>
        <w:pStyle w:val="BodyText"/>
      </w:pPr>
      <w:r>
        <w:t>De publicatie Woorden doen ertoe van het Wereldmuseum geeft tips voor de omgang met koloniale terminologie.</w:t>
      </w:r>
    </w:p>
    <w:p>
      <w:pPr>
        <w:pStyle w:val="BodyText"/>
      </w:pPr>
    </w:p>
    <w:p>
      <w:pPr>
        <w:pStyle w:val="Heading1"/>
      </w:pPr>
      <w:r>
        <w:t>Related Aids</w:t>
      </w:r>
    </w:p>
    <w:p>
      <w:pPr>
        <w:pStyle w:val="BodyText"/>
      </w:pPr>
    </w:p>
    <w:p>
      <w:pPr>
        <w:pStyle w:val="ListBullet"/>
      </w:pPr>
      <w:r>
        <w:t>_see also:</w:t>
      </w:r>
    </w:p>
    <w:p>
      <w:pPr>
        <w:pStyle w:val="ListBullet"/>
      </w:pPr>
      <w:r>
        <w:t>Onderzoeken</w:t>
      </w:r>
    </w:p>
    <w:p>
      <w:pPr>
        <w:pStyle w:val="ListBullet"/>
      </w:pPr>
      <w:r>
        <w:t>_</w:t>
      </w: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BodyText"/>
      </w:pPr>
    </w:p>
    <w:p>
      <w:pPr>
        <w:pStyle w:val="BodyText"/>
      </w:pPr>
      <w:r>
        <w:t>_last edited by wiebe reints as original_author on 2024-05-01_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