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2025-01-23_</w:t>
        <w:br/>
        <w:t>_last edited by wiebe reints as original_author on 2025-01-23_</w:t>
      </w:r>
    </w:p>
    <w:p>
      <w:pPr>
        <w:pStyle w:val="BodyText"/>
      </w:pPr>
    </w:p>
    <w:p>
      <w:pPr>
        <w:pStyle w:val="Title"/>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De totstandkoming van het Nederlandse restitutiebeleid</w:t>
      </w:r>
    </w:p>
    <w:p>
      <w:pPr>
        <w:pStyle w:val="BodyText"/>
      </w:pPr>
    </w:p>
    <w:p>
      <w:pPr>
        <w:pStyle w:val="BodyText"/>
      </w:pPr>
      <w:r>
        <w:t>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w:t>
      </w:r>
    </w:p>
    <w:p>
      <w:pPr>
        <w:pStyle w:val="BodyText"/>
      </w:pPr>
    </w:p>
    <w:p>
      <w:pPr>
        <w:pStyle w:val="Heading1"/>
      </w:pPr>
      <w:r>
        <w:t>Koloniale collecties en erkenning van onrecht</w:t>
      </w:r>
    </w:p>
    <w:p>
      <w:pPr>
        <w:pStyle w:val="BodyText"/>
      </w:pPr>
    </w:p>
    <w:p>
      <w:pPr>
        <w:pStyle w:val="BodyText"/>
      </w:pPr>
      <w:r>
        <w: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w:t>
      </w:r>
    </w:p>
    <w:p>
      <w:pPr>
        <w:pStyle w:val="BodyText"/>
      </w:pPr>
    </w:p>
    <w:p>
      <w:pPr>
        <w:pStyle w:val="BodyText"/>
      </w:pPr>
      <w:r>
        <w:t>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w:t>
      </w:r>
    </w:p>
    <w:p>
      <w:pPr>
        <w:pStyle w:val="BodyText"/>
      </w:pPr>
    </w:p>
    <w:p>
      <w:pPr>
        <w:pStyle w:val="Heading1"/>
      </w:pPr>
      <w:r>
        <w:t>Beleidsvisie collecties uit een koloniale context</w:t>
      </w:r>
    </w:p>
    <w:p>
      <w:pPr>
        <w:pStyle w:val="BodyText"/>
      </w:pPr>
    </w:p>
    <w:p>
      <w:pPr>
        <w:pStyle w:val="BodyText"/>
      </w:pPr>
      <w:r>
        <w: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w:t>
      </w:r>
    </w:p>
    <w:p>
      <w:pPr>
        <w:pStyle w:val="BodyText"/>
      </w:pPr>
    </w:p>
    <w:p>
      <w:pPr>
        <w:pStyle w:val="BodyText"/>
      </w:pPr>
      <w:r>
        <w:t>1. Cultuurgoederen die onvrijwillig zijn weggenomen uit een voormalige Nederlandse kolonie</w:t>
      </w:r>
    </w:p>
    <w:p>
      <w:pPr>
        <w:pStyle w:val="BodyText"/>
      </w:pPr>
    </w:p>
    <w:p>
      <w:pPr>
        <w:pStyle w:val="BodyText"/>
      </w:pPr>
      <w:r>
        <w:t>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w:t>
      </w:r>
    </w:p>
    <w:p>
      <w:pPr>
        <w:pStyle w:val="BodyText"/>
      </w:pPr>
    </w:p>
    <w:p>
      <w:pPr>
        <w:pStyle w:val="BodyText"/>
      </w:pPr>
      <w:r>
        <w:t>2. Cultuurgoederen met een bijzondere betekenis voor het land van herkomst</w:t>
      </w:r>
    </w:p>
    <w:p>
      <w:pPr>
        <w:pStyle w:val="BodyText"/>
      </w:pPr>
    </w:p>
    <w:p>
      <w:pPr>
        <w:pStyle w:val="BodyText"/>
      </w:pPr>
      <w:r>
        <w:t>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w:t>
      </w:r>
    </w:p>
    <w:p>
      <w:pPr>
        <w:pStyle w:val="BodyText"/>
      </w:pPr>
    </w:p>
    <w:p>
      <w:pPr>
        <w:pStyle w:val="BodyText"/>
      </w:pPr>
      <w:r>
        <w:t>3. Cultuurgoederen afkomstig uit voormalige koloniën van andere mogendheden</w:t>
      </w:r>
    </w:p>
    <w:p>
      <w:pPr>
        <w:pStyle w:val="BodyText"/>
      </w:pPr>
    </w:p>
    <w:p>
      <w:pPr>
        <w:pStyle w:val="BodyText"/>
      </w:pPr>
      <w:r>
        <w:t>De derde categorie bestaat uit objecten in rijksbezit die afkomstig zijn uit landen die door andere mogendheden gekoloniseerd zijn geweest. Ook in deze gevallen wordt er een belangenafweging gemaakt, waarbij het herstel van historisch onrecht centraal staat.</w:t>
      </w:r>
    </w:p>
    <w:p>
      <w:pPr>
        <w:pStyle w:val="BodyText"/>
      </w:pPr>
    </w:p>
    <w:p>
      <w:pPr>
        <w:pStyle w:val="BodyText"/>
      </w:pPr>
      <w:r>
        <w:t>Menselijke resten</w:t>
      </w:r>
    </w:p>
    <w:p>
      <w:pPr>
        <w:pStyle w:val="BodyText"/>
      </w:pPr>
    </w:p>
    <w:p>
      <w:pPr>
        <w:pStyle w:val="BodyText"/>
      </w:pPr>
      <w:r>
        <w:t>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w:t>
      </w:r>
    </w:p>
    <w:p>
      <w:pPr>
        <w:pStyle w:val="BodyText"/>
      </w:pPr>
    </w:p>
    <w:p>
      <w:pPr>
        <w:pStyle w:val="BodyText"/>
      </w:pPr>
      <w:r>
        <w:t>De behandeling van teruggaveverzoeken</w:t>
      </w:r>
    </w:p>
    <w:p>
      <w:pPr>
        <w:pStyle w:val="BodyText"/>
      </w:pPr>
    </w:p>
    <w:p>
      <w:pPr>
        <w:pStyle w:val="BodyText"/>
      </w:pPr>
      <w:r>
        <w:t>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w:t>
      </w:r>
    </w:p>
    <w:p>
      <w:pPr>
        <w:pStyle w:val="BodyText"/>
      </w:pPr>
    </w:p>
    <w:p>
      <w:pPr>
        <w:pStyle w:val="BodyText"/>
      </w:pPr>
      <w:r>
        <w:t>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w:t>
      </w:r>
    </w:p>
    <w:p>
      <w:pPr>
        <w:pStyle w:val="BodyText"/>
      </w:pPr>
    </w:p>
    <w:p>
      <w:pPr>
        <w:pStyle w:val="BodyText"/>
      </w:pPr>
      <w:r>
        <w:t>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w:t>
      </w:r>
    </w:p>
    <w:p>
      <w:pPr>
        <w:pStyle w:val="BodyText"/>
      </w:pPr>
    </w:p>
    <w:p>
      <w:pPr>
        <w:pStyle w:val="BodyText"/>
      </w:pPr>
      <w:r>
        <w:t>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w:t>
      </w:r>
    </w:p>
    <w:p>
      <w:pPr>
        <w:pStyle w:val="BodyText"/>
      </w:pPr>
    </w:p>
    <w:p>
      <w:pPr>
        <w:pStyle w:val="BodyText"/>
      </w:pPr>
      <w:r>
        <w:t>Samenwerking rond koloniale collecties</w:t>
      </w:r>
    </w:p>
    <w:p>
      <w:pPr>
        <w:pStyle w:val="BodyText"/>
      </w:pPr>
    </w:p>
    <w:p>
      <w:pPr>
        <w:pStyle w:val="BodyText"/>
      </w:pPr>
      <w:r>
        <w:t>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w:t>
      </w:r>
    </w:p>
    <w:p>
      <w:pPr>
        <w:pStyle w:val="BodyText"/>
      </w:pPr>
    </w:p>
    <w:p>
      <w:pPr>
        <w:pStyle w:val="Heading1"/>
      </w:pPr>
      <w:r>
        <w:t>Commissie Koloniale Collecties</w:t>
      </w:r>
    </w:p>
    <w:p>
      <w:pPr>
        <w:pStyle w:val="BodyText"/>
      </w:pPr>
    </w:p>
    <w:p>
      <w:pPr>
        <w:pStyle w:val="BodyText"/>
      </w:pPr>
      <w:r>
        <w:t>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w:t>
      </w:r>
    </w:p>
    <w:p>
      <w:pPr>
        <w:pStyle w:val="BodyText"/>
      </w:pPr>
    </w:p>
    <w:p>
      <w:pPr>
        <w:pStyle w:val="BodyText"/>
      </w:pPr>
      <w:r>
        <w:t>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w:t>
      </w:r>
    </w:p>
    <w:p>
      <w:pPr>
        <w:pStyle w:val="BodyText"/>
      </w:pPr>
    </w:p>
    <w:p>
      <w:pPr>
        <w:pStyle w:val="BodyText"/>
      </w:pPr>
      <w:r>
        <w:t>Hoe wordt een verzoek in behandeling genomen?</w:t>
      </w:r>
    </w:p>
    <w:p>
      <w:pPr>
        <w:pStyle w:val="BodyText"/>
      </w:pPr>
    </w:p>
    <w:p>
      <w:pPr>
        <w:pStyle w:val="BodyText"/>
      </w:pPr>
      <w:r>
        <w:t>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w:t>
      </w:r>
    </w:p>
    <w:p>
      <w:pPr>
        <w:pStyle w:val="BodyText"/>
      </w:pPr>
    </w:p>
    <w:p>
      <w:pPr>
        <w:pStyle w:val="BodyText"/>
      </w:pPr>
      <w:r>
        <w:t>De onderzoeksfase</w:t>
      </w:r>
    </w:p>
    <w:p>
      <w:pPr>
        <w:pStyle w:val="BodyText"/>
      </w:pPr>
    </w:p>
    <w:p>
      <w:pPr>
        <w:pStyle w:val="BodyText"/>
      </w:pPr>
      <w:r>
        <w:t>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w:t>
      </w:r>
    </w:p>
    <w:p>
      <w:pPr>
        <w:pStyle w:val="BodyText"/>
      </w:pPr>
    </w:p>
    <w:p>
      <w:pPr>
        <w:pStyle w:val="BodyText"/>
      </w:pPr>
      <w:r>
        <w:t>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w:t>
      </w:r>
    </w:p>
    <w:p>
      <w:pPr>
        <w:pStyle w:val="BodyText"/>
      </w:pPr>
    </w:p>
    <w:p>
      <w:pPr>
        <w:pStyle w:val="BodyText"/>
      </w:pPr>
      <w:r>
        <w:t>Beoordeling en advisering</w:t>
      </w:r>
    </w:p>
    <w:p>
      <w:pPr>
        <w:pStyle w:val="BodyText"/>
      </w:pPr>
    </w:p>
    <w:p>
      <w:pPr>
        <w:pStyle w:val="BodyText"/>
      </w:pPr>
      <w:r>
        <w:t>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w:t>
      </w:r>
    </w:p>
    <w:p>
      <w:pPr>
        <w:pStyle w:val="BodyText"/>
      </w:pPr>
    </w:p>
    <w:p>
      <w:pPr>
        <w:pStyle w:val="BodyText"/>
      </w:pPr>
      <w:r>
        <w:t>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w:t>
      </w:r>
    </w:p>
    <w:p>
      <w:pPr>
        <w:pStyle w:val="BodyText"/>
      </w:pPr>
    </w:p>
    <w:p>
      <w:pPr>
        <w:pStyle w:val="BodyText"/>
      </w:pPr>
      <w:r>
        <w:t>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1"/>
      </w:pPr>
      <w:r>
        <w:t>Related Aids</w:t>
      </w:r>
    </w:p>
    <w:p>
      <w:pPr>
        <w:pStyle w:val="BodyText"/>
      </w:pPr>
    </w:p>
    <w:p>
      <w:pPr>
        <w:pStyle w:val="ListBullet"/>
      </w:pPr>
      <w:r>
        <w:t>_see also:</w:t>
      </w:r>
    </w:p>
    <w:p>
      <w:pPr>
        <w:pStyle w:val="ListBullet"/>
      </w:pPr>
      <w:r>
        <w:t>Onderzoeken</w:t>
      </w:r>
    </w:p>
    <w:p>
      <w:pPr>
        <w:pStyle w:val="ListBullet"/>
      </w:pPr>
      <w:r>
        <w:t>_</w:t>
      </w:r>
    </w:p>
    <w:p>
      <w:pPr>
        <w:pStyle w:val="ListBullet"/>
      </w:pPr>
      <w:r>
        <w:t>_see also:</w:t>
      </w:r>
    </w:p>
    <w:p>
      <w:pPr>
        <w:pStyle w:val="ListBullet"/>
      </w:pPr>
      <w:r>
        <w:t>Bronnen</w:t>
      </w:r>
    </w:p>
    <w:p>
      <w:pPr>
        <w:pStyle w:val="ListBullet"/>
      </w:pPr>
      <w:r>
        <w: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