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Aruba, Bonaire, Curaçao, Saba, Sint Eustatius, Sint Maarten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