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Aruba, Bonaire en Curaçao</w:t>
      </w:r>
    </w:p>
    <w:p>
      <w:pPr>
        <w:pStyle w:val="ListBullet"/>
      </w:pPr>
      <w:r>
        <w:t>_</w:t>
      </w:r>
    </w:p>
    <w:p>
      <w:pPr>
        <w:pStyle w:val="ListBullet"/>
      </w:pPr>
      <w:r>
        <w:t>_see also:</w:t>
      </w:r>
    </w:p>
    <w:p>
      <w:pPr>
        <w:pStyle w:val="ListBullet"/>
      </w:pPr>
      <w:r>
        <w:t>Saba, Sint Eustatius en Sint Maarten</w:t>
      </w:r>
    </w:p>
    <w:p>
      <w:pPr>
        <w:pStyle w:val="ListBullet"/>
      </w:pPr>
      <w:r>
        <w:t>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Aruba, Bonaire, Curaçao, Saba, Sint Eustatius, Sint Maarten,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