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Wiebe Reints as original_author on 2024-11-06_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Beschrijving</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Nationaal museum, Historisch museum</w:t>
        <w:br/>
        <w:t>,</w:t>
        <w:br/>
        <w:t xml:space="preserve">  Type of objects:</w:t>
      </w:r>
    </w:p>
    <w:p>
      <w:pPr>
        <w:pStyle w:val="BodyText"/>
      </w:pPr>
    </w:p>
    <w:p>
      <w:pPr>
        <w:pStyle w:val="BodyText"/>
      </w:pPr>
      <w:r>
        <w:t>Oudheden</w:t>
        <w:br/>
        <w:t>,</w:t>
        <w:br/>
        <w:t xml:space="preserve">  Geographical:</w:t>
      </w:r>
    </w:p>
    <w:p>
      <w:pPr>
        <w:pStyle w:val="BodyText"/>
      </w:pPr>
    </w:p>
    <w:p>
      <w:pPr>
        <w:pStyle w:val="BodyText"/>
      </w:pPr>
      <w:r>
        <w:t>Indonesië</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van Oudheden is niet opgenomen in de Datahub. De objecten die in 1904 aan het Etnografisch Museum in Leiden zijn overgedragen, zijn gekenmerkt met het inventarisnummer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