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Geschiedenis van het museum</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BodyText"/>
      </w:pPr>
      <w:r>
        <w:t>Foto van het Wereldmuseum in Leiden in november 2024</w:t>
        <w:br/>
        <w:t>_Het Wereldmuseum Leiden in november 2024 (Sneeuwvlakte / Wikimedia Commons)_</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