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2025-04-07</w:t>
        <w:br/>
        <w:t xml:space="preserve">        (applies to section: Main-text; Sources)_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Heading2"/>
      </w:pPr>
      <w:r>
        <w:t>Description</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Artis Etnographic Museum</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Publication:</w:t>
      </w:r>
    </w:p>
    <w:p>
      <w:pPr>
        <w:pStyle w:val="BodyText"/>
      </w:pPr>
    </w:p>
    <w:p>
      <w:pPr>
        <w:pStyle w:val="BodyText"/>
      </w:pPr>
    </w:p>
    <w:p>
      <w:pPr>
        <w:pStyle w:val="BodyText"/>
      </w:pPr>
      <w:r>
        <w:t>Minutes:</w:t>
      </w:r>
    </w:p>
    <w:p>
      <w:pPr>
        <w:pStyle w:val="BodyText"/>
      </w:pPr>
    </w:p>
    <w:p>
      <w:pPr>
        <w:pStyle w:val="BodyText"/>
      </w:pPr>
    </w:p>
    <w:p>
      <w:pPr>
        <w:pStyle w:val="BodyText"/>
      </w:pPr>
      <w:r>
        <w:t>Archive:</w:t>
      </w:r>
    </w:p>
    <w:p>
      <w:pPr>
        <w:pStyle w:val="BodyText"/>
      </w:pPr>
    </w:p>
    <w:p>
      <w:pPr>
        <w:pStyle w:val="BodyText"/>
      </w:pPr>
    </w:p>
    <w:p>
      <w:pPr>
        <w:pStyle w:val="BodyText"/>
      </w:pPr>
      <w:r>
        <w:t>Journal:</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Society, Collection, Museum</w:t>
        <w:br/>
        <w:t>,</w:t>
        <w:br/>
        <w:t xml:space="preserve">  Type of objects:</w:t>
      </w:r>
    </w:p>
    <w:p>
      <w:pPr>
        <w:pStyle w:val="BodyText"/>
      </w:pPr>
    </w:p>
    <w:p>
      <w:pPr>
        <w:pStyle w:val="BodyText"/>
      </w:pPr>
      <w:r>
        <w:t>Natural objects, Natural history specimens, Minerals</w:t>
        <w:br/>
        <w:t>,</w:t>
        <w:br/>
        <w:t xml:space="preserve">  Geographical:</w:t>
      </w:r>
    </w:p>
    <w:p>
      <w:pPr>
        <w:pStyle w:val="BodyText"/>
      </w:pPr>
    </w:p>
    <w:p>
      <w:pPr>
        <w:pStyle w:val="BodyText"/>
      </w:pPr>
      <w:r>
        <w:t>Indonesia</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"The museum collection of the Koninklijk Bataviaasch Genootschap van Kunsten en Wetenschappen was incorporated into the National Museum of Indonesia after 1962. The society's book collection has been part of the National Library of Indonesia since its establishment in 1980."</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