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 (Paul van Galen / Rijksdienst voor het Cultureel Erfgoed)_</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