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w:t>
        <w:br/>
        <w:t xml:space="preserve">        (applies to section: Main-text; Sources)_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and Curaçao</w:t>
      </w:r>
    </w:p>
    <w:p>
      <w:pPr>
        <w:pStyle w:val="ListBullet"/>
      </w:pPr>
      <w:r>
        <w:t>_</w:t>
      </w:r>
    </w:p>
    <w:p>
      <w:pPr>
        <w:pStyle w:val="ListBullet"/>
      </w:pPr>
      <w:r>
        <w:t>_see also:</w:t>
      </w:r>
    </w:p>
    <w:p>
      <w:pPr>
        <w:pStyle w:val="ListBullet"/>
      </w:pPr>
      <w:r>
        <w:t>Saba, Sint Eustatius and Sint Maarten</w:t>
      </w:r>
    </w:p>
    <w:p>
      <w:pPr>
        <w:pStyle w:val="ListBullet"/>
      </w:pPr>
      <w:r>
        <w:t>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Aruba, Bonaire, Curaçao, Saba, Sint Eustatius, Sint Maarten,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