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Description</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Natural objects, Natural history specimens, Animal specimens, Minerals, Fossils, Archaeological objects</w:t>
        <w:br/>
        <w:t>,</w:t>
        <w:br/>
        <w:t xml:space="preserve">  Geographical:</w:t>
      </w:r>
    </w:p>
    <w:p>
      <w:pPr>
        <w:pStyle w:val="BodyText"/>
      </w:pPr>
    </w:p>
    <w:p>
      <w:pPr>
        <w:pStyle w:val="BodyText"/>
      </w:pPr>
      <w:r>
        <w:t>Indonesia, Tibet, Nepal, Thailand, India, Asia, Northern Africa, Southern Africa, Central Africa, Eastern Africa, West Africa, North America, Suriname, Central America, South America, Papua New Guinea, Oceania</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"The Museon has a similar collection website to the Wereldmuseum. The entire collection is accessible and divided into ‘Nature’, ‘Culture’, ‘Technology’ and ‘Visual material’."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