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ListBullet"/>
      </w:pPr>
      <w:r>
        <w:t>_see also:</w:t>
      </w:r>
    </w:p>
    <w:p>
      <w:pPr>
        <w:pStyle w:val="ListBullet"/>
      </w:pPr>
      <w:r>
        <w:t>Christian missionaries in colonised territories</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Missiemuseum Steyl</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section:</w:t>
      </w:r>
    </w:p>
    <w:p>
      <w:pPr>
        <w:pStyle w:val="BodyText"/>
      </w:pPr>
    </w:p>
    <w:p>
      <w:pPr>
        <w:pStyle w:val="BodyText"/>
      </w:pPr>
    </w:p>
    <w:p>
      <w:pPr>
        <w:pStyle w:val="BodyText"/>
      </w:pPr>
      <w:r>
        <w:t>Article:</w:t>
      </w:r>
    </w:p>
    <w:p>
      <w:pPr>
        <w:pStyle w:val="BodyText"/>
      </w:pPr>
    </w:p>
    <w:p>
      <w:pPr>
        <w:pStyle w:val="BodyText"/>
      </w:pPr>
    </w:p>
    <w:p>
      <w:pPr>
        <w:pStyle w:val="BodyText"/>
      </w:pPr>
      <w:r>
        <w:t>Magazine:</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