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2024-07-10_</w:t>
        <w:br/>
        <w:t>_last edited by Abacus as translator on 2025-04-24</w:t>
        <w:br/>
        <w:t xml:space="preserve">        (applies to section: Main-text; Sources)_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Description</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Magazine: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Research center, Collecting, Natural History Museum</w:t>
        <w:br/>
        <w:t>,</w:t>
        <w:br/>
        <w:t xml:space="preserve">  Type of objects:</w:t>
      </w:r>
    </w:p>
    <w:p>
      <w:pPr>
        <w:pStyle w:val="BodyText"/>
      </w:pPr>
    </w:p>
    <w:p>
      <w:pPr>
        <w:pStyle w:val="BodyText"/>
      </w:pPr>
      <w:r>
        <w:t>Natural objects, Natural history specimens, Animal specimens, Minerals, Fossils</w:t>
        <w:br/>
        <w:t>,</w:t>
        <w:br/>
        <w:t xml:space="preserve">  Geographical:</w:t>
      </w:r>
    </w:p>
    <w:p>
      <w:pPr>
        <w:pStyle w:val="BodyText"/>
      </w:pPr>
    </w:p>
    <w:p>
      <w:pPr>
        <w:pStyle w:val="BodyText"/>
      </w:pPr>
      <w:r>
        <w:t>Europe, Asia, Africa, Oceania, North America, South America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