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ListBullet"/>
      </w:pPr>
      <w:r>
        <w:t>Onderzoeken</w:t>
      </w:r>
    </w:p>
    <w:p>
      <w:pPr>
        <w:pStyle w:val="ListBullet"/>
      </w:pPr>
      <w:r>
        <w:t>Het Nederlandse restitutiebeleid</w:t>
      </w: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Zendelingen en missionarissen in gekoloniseerde gebieden</w:t>
      </w:r>
    </w:p>
    <w:p>
      <w:pPr>
        <w:pStyle w:val="ListBullet"/>
      </w:pPr>
      <w:r>
        <w:t>Wetenschappelijk onderzoek in gekoloniseerde gebieden</w:t>
      </w:r>
    </w:p>
    <w:p>
      <w:pPr>
        <w:pStyle w:val="ListBullet"/>
      </w:pPr>
      <w:r>
        <w:t>Wereldmuseum Leiden</w:t>
      </w:r>
    </w:p>
    <w:p>
      <w:pPr>
        <w:pStyle w:val="ListBullet"/>
      </w:pPr>
      <w:r>
        <w:t>Koninklijk Instituut voor Taal- Land- en Volkenkunde</w:t>
      </w:r>
    </w:p>
    <w:p>
      <w:pPr>
        <w:pStyle w:val="ListBullet"/>
      </w:pPr>
      <w:r>
        <w:t>Naturalis Biodiversity Center</w:t>
      </w:r>
    </w:p>
    <w:p>
      <w:pPr>
        <w:pStyle w:val="ListBullet"/>
      </w:pPr>
      <w:r>
        <w:t>Wereldmuseum Amsterdam</w:t>
      </w:r>
    </w:p>
    <w:p>
      <w:pPr>
        <w:pStyle w:val="ListBullet"/>
      </w:pPr>
      <w:r>
        <w:t>Wereldmuseum Rotterdam</w:t>
      </w:r>
    </w:p>
    <w:p>
      <w:pPr>
        <w:pStyle w:val="ListBullet"/>
      </w:pPr>
      <w:r>
        <w:t>Museum Bronbeek</w:t>
      </w:r>
    </w:p>
    <w:p>
      <w:pPr>
        <w:pStyle w:val="ListBullet"/>
      </w:pPr>
      <w:r>
        <w:t>Rijksmuseum Amsterdam</w:t>
      </w:r>
    </w:p>
    <w:p>
      <w:pPr>
        <w:pStyle w:val="ListBullet"/>
      </w:pPr>
      <w:r>
        <w:t>Rijksmuseum van Oudheden</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