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xxx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ListBullet"/>
      </w:pPr>
      <w:r>
        <w:t>C.G.C. Reinwardt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p>
      <w:pPr>
        <w:pStyle w:val="BodyText"/>
      </w:pPr>
      <w:r>
        <w:t>TO BE FILLED</w:t>
      </w:r>
    </w:p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