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Bronnen</w:t>
      </w:r>
    </w:p>
    <w:p>
      <w:pPr>
        <w:pStyle w:val="ListBullet"/>
      </w:pPr>
      <w:r>
        <w:t>Leger- en marinepersoneel in gekoloniseerde gebieden</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br/>
        <w:t xml:space="preserve">  https://www.google.nl/books/edition/_/xhlCAQAAMAAJ?hl=nl&amp;gbpv=1, WorldCat 882982014</w:t>
      </w:r>
    </w:p>
    <w:p>
      <w:pPr>
        <w:pStyle w:val="BodyText"/>
      </w:pPr>
    </w:p>
    <w:p>
      <w:pPr>
        <w:pStyle w:val="Heading1"/>
      </w:pPr>
      <w: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br/>
        <w:t xml:space="preserve">  https://www.rmwo.nl/</w:t>
      </w:r>
    </w:p>
    <w:p>
      <w:pPr>
        <w:pStyle w:val="BodyText"/>
      </w:pPr>
    </w:p>
    <w:p>
      <w:pPr>
        <w:pStyle w:val="BodyText"/>
      </w:pPr>
      <w:r>
        <w:t>Website:</w:t>
      </w:r>
    </w:p>
    <w:p>
      <w:pPr>
        <w:pStyle w:val="BodyText"/>
      </w:pPr>
    </w:p>
    <w:p>
      <w:pPr>
        <w:pStyle w:val="BodyText"/>
      </w:pPr>
      <w:r>
        <w:t>Collectiewebsite Museum Bronbeek</w:t>
        <w:br/>
        <w:t xml:space="preserve">  _Collectiewebsite van Museum Bronbeek, waarop de gehele collectie doorzoekbaar is._</w:t>
        <w:br/>
        <w:t xml:space="preserve">  http://museumbronbeek.nl/</w:t>
      </w:r>
    </w:p>
    <w:p>
      <w:pPr>
        <w:pStyle w:val="BodyText"/>
      </w:pPr>
    </w:p>
    <w:p>
      <w:pPr>
        <w:pStyle w:val="BodyText"/>
      </w:pPr>
      <w:r>
        <w:t>Boek:</w:t>
      </w:r>
    </w:p>
    <w:p>
      <w:pPr>
        <w:pStyle w:val="BodyText"/>
      </w:pPr>
    </w:p>
    <w:p>
      <w:pPr>
        <w:pStyle w:val="BodyText"/>
      </w:pPr>
      <w:r>
        <w:t>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br/>
        <w:t xml:space="preserve">  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