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1948_ (R.G. Jonkman / Nationaal Archief Den Haag)</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Royal Netherlands Institute of Southeast Asian and Caribbean Studies (KITLV)</w:t>
      </w:r>
    </w:p>
    <w:p>
      <w:pPr>
        <w:pStyle w:val="ListBullet"/>
      </w:pPr>
      <w:r>
        <w:t>Naturalis Biodiversity Center</w:t>
      </w:r>
    </w:p>
    <w:p>
      <w:pPr>
        <w:pStyle w:val="ListBullet"/>
      </w:pPr>
      <w:r>
        <w:t>Artis Etnographic Museum</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br/>
        <w:t>https://www.biodiversitylibrary.org/bibliography/7371</w:t>
        <w:br/>
        <w:t xml:space="preserve">  Minutes:</w:t>
        <w:br/>
        <w:t xml:space="preserve">  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br/>
        <w:t>http://hdl.handle.net/1887.1/item:1112865</w:t>
        <w:br/>
        <w:t xml:space="preserve">  Archive:</w:t>
        <w:br/>
        <w:t xml:space="preserve">  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br/>
        <w:t>https://anri.go.id/</w:t>
        <w:br/>
        <w:t xml:space="preserve">  Journal:</w:t>
        <w:br/>
        <w:t xml:space="preserve">  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br/>
        <w:t xml:space="preserve">https://kitlv-docs.library.leiden.edu/open/Metamorfoze/TBG/tbg.html </w:t>
        <w:b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