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(Oudenbosch Natural History and Ethnographic Museum)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thus to teach the pupils of the boarding school. Once the congregation also became active in the Dutch East Indies in 1862, missionaries increasingly brought collections of ethnographic and natural history objects back to Oudenbosch. These collections were used to teach the pupils in the boarding school. Not all of the ethnographic and natural history collections came from the Dutch East Indies, however; collections of Dutch flora and fauna were also assembled and the boarding school also received objects via the Witte Paters (White Fathers) – a Catholic society that was mainly active in Central Africa – from places including then Belgian Congo.</w:t>
      </w:r>
    </w:p>
    <w:p>
      <w:pPr>
        <w:pStyle w:val="BodyText"/>
      </w:pPr>
    </w:p>
    <w:p>
      <w:pPr>
        <w:pStyle w:val="BodyText"/>
      </w:pPr>
      <w:r>
        <w:t>The objects that make up the collections in Oudenbosch mainly reflect the various interests of the brothers, which eventually resulted in the creation of a so-called 'physisch kabinet' (physical cabinet) and an 'Indisch museum' (East Indies museum). It took until 1956 before the various classrooms with their associated collections were merged into a single museum. In 1968 the museum moved to the building where it is still located today. It was only after this move that the museum became accessible to visitors from outside the fraternity. In 1985 the collection was transferred to the Stichting Natuurhistorisch en Volkenkundig Museum, the foundation that currently owns the objects.</w:t>
      </w:r>
    </w:p>
    <w:p>
      <w:pPr>
        <w:pStyle w:val="BodyText"/>
      </w:pPr>
    </w:p>
    <w:p>
      <w:pPr>
        <w:pStyle w:val="BodyText"/>
      </w:pPr>
      <w:r>
        <w:t>Nowadays the focus of the museum's ethnographic exhibition alternates every five years between the former Dutch East Indies and the African continent. The current exhibition examines the Witte Paters and their links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is not available online. Interested researchers can contact the museum for access to the registration system and the archive.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missionaries in colonised territories</w:t>
      </w:r>
    </w:p>
    <w:p>
      <w:pPr>
        <w:pStyle w:val="ListBullet"/>
      </w:pPr>
      <w:r>
        <w:t>Museums and collections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Oudenbosch Natural History and Ethnographic Museum. You can find more information about the history of the museum in the dropdown menu under ‘Museum’. The ‘Collections’ dropdown menu provides an overview of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_Webpage on the Brabants Erfgoed website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2025-10-23</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