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Suriname</w:t>
      </w:r>
    </w:p>
    <w:p>
      <w:pPr>
        <w:pStyle w:val="BodyText"/>
      </w:pPr>
    </w:p>
    <w:p>
      <w:pPr>
        <w:pStyle w:val="Heading1"/>
      </w:pPr>
      <w:r>
        <w:t>Abstract</w:t>
      </w:r>
    </w:p>
    <w:p>
      <w:pPr>
        <w:pStyle w:val="BodyText"/>
      </w:pPr>
    </w:p>
    <w:p>
      <w:pPr>
        <w:pStyle w:val="BodyText"/>
      </w:pPr>
      <w:r>
        <w:t>Te schrijven.</w:t>
      </w:r>
    </w:p>
    <w:p>
      <w:pPr>
        <w:pStyle w:val="BodyText"/>
      </w:pPr>
    </w:p>
    <w:p>
      <w:pPr>
        <w:pStyle w:val="Heading2"/>
      </w:pPr>
      <w:r>
        <w:t>Beschrijving</w:t>
      </w:r>
    </w:p>
    <w:p>
      <w:pPr>
        <w:pStyle w:val="BodyText"/>
      </w:pPr>
    </w:p>
    <w:p>
      <w:pPr>
        <w:pStyle w:val="BodyText"/>
      </w:pPr>
      <w:r>
        <w:t>Suriname werd in 1651 gekoloniseerd door Sir Frances Willoughby, de Engelse gouverneur van Barbados, die langs de oevers van de Surinamerivier uitbreiding zocht voor zijn suikerplantages op het kleine eiland Barbados AANPASSEN. In 1667 werd deze kolonie tijdens de Tweede Engels-Nederlandse Oorlog door een Zeeuwse vloot veroverd. In 1683 verkochten de Zeeuwen de kolonie aan de West-Indische Compagnie (WIC), waarna er een Sociëteit van Suriname werd opgericht om de kolonie te besturen. Deze sociëteit had in gelijke verhoudingen de WIC, de familie Van Aerssen van Sommelsdijck en de stad Amsterdam als aandeelhouders. Na</w:t>
      </w:r>
    </w:p>
    <w:p>
      <w:pPr>
        <w:pStyle w:val="BodyText"/>
      </w:pPr>
    </w:p>
    <w:p>
      <w:pPr>
        <w:pStyle w:val="Heading2"/>
      </w:pPr>
      <w:r>
        <w:t>Verzamelen in Suriname</w:t>
      </w:r>
    </w:p>
    <w:p>
      <w:pPr>
        <w:pStyle w:val="BodyText"/>
      </w:pPr>
    </w:p>
    <w:p>
      <w:pPr>
        <w:pStyle w:val="Heading2"/>
      </w:pPr>
      <w:r>
        <w:t>Natuurhistorisch verzamelen?</w:t>
      </w:r>
    </w:p>
    <w:p>
      <w:pPr>
        <w:pStyle w:val="BodyText"/>
      </w:pPr>
    </w:p>
    <w:p>
      <w:pPr>
        <w:pStyle w:val="Heading2"/>
      </w:pPr>
      <w:r>
        <w:t>Herkomstonderzoek</w:t>
      </w:r>
    </w:p>
    <w:p>
      <w:pPr>
        <w:pStyle w:val="BodyText"/>
      </w:pPr>
    </w:p>
    <w:p>
      <w:pPr>
        <w:pStyle w:val="Heading1"/>
      </w:pPr>
      <w:r>
        <w:t>Related Aids</w:t>
      </w:r>
    </w:p>
    <w:p>
      <w:pPr>
        <w:pStyle w:val="BodyText"/>
      </w:pPr>
    </w:p>
    <w:p>
      <w:pPr>
        <w:pStyle w:val="ListBullet"/>
      </w:pPr>
      <w:r>
        <w:t>Selecteren en afbakenen</w:t>
      </w:r>
    </w:p>
    <w:p>
      <w:pPr>
        <w:pStyle w:val="ListBullet"/>
      </w:pPr>
      <w:r>
        <w:t>Bronnen</w:t>
      </w:r>
    </w:p>
    <w:p>
      <w:pPr>
        <w:pStyle w:val="ListBullet"/>
      </w:pPr>
      <w:r>
        <w:t>Ambtenaren</w:t>
      </w:r>
    </w:p>
    <w:p>
      <w:pPr>
        <w:pStyle w:val="ListBullet"/>
      </w:pPr>
      <w:r>
        <w:t>Leger en marine</w:t>
      </w:r>
    </w:p>
    <w:p>
      <w:pPr>
        <w:pStyle w:val="ListBullet"/>
      </w:pPr>
      <w:r>
        <w:t>Koninklijk Instituut voor Taal-, Land en Volkenkunde</w:t>
      </w:r>
    </w:p>
    <w:p>
      <w:pPr>
        <w:pStyle w:val="ListBullet"/>
      </w:pPr>
      <w:r>
        <w:t>Rijksmuseum Amsterdam</w:t>
      </w:r>
    </w:p>
    <w:p>
      <w:pPr>
        <w:pStyle w:val="ListBullet"/>
      </w:pPr>
      <w:r>
        <w:t>Wereldmuseum Amsterdam</w:t>
      </w:r>
    </w:p>
    <w:p>
      <w:pPr>
        <w:pStyle w:val="ListBullet"/>
      </w:pPr>
      <w:r>
        <w:t>Wereldmuseum Leiden</w:t>
      </w:r>
    </w:p>
    <w:p>
      <w:pPr>
        <w:pStyle w:val="ListBullet"/>
      </w:pPr>
      <w:r>
        <w:t>Wereldmuseum Rotterdam</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