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on what was then known as the Gold Coast.</w:t>
      </w:r>
    </w:p>
    <w:p>
      <w:pPr>
        <w:pStyle w:val="BodyText"/>
      </w:pPr>
    </w:p>
    <w:p>
      <w:pPr>
        <w:pStyle w:val="Heading2"/>
      </w:pPr>
      <w:r>
        <w:t>Description</w:t>
      </w:r>
    </w:p>
    <w:p>
      <w:pPr>
        <w:pStyle w:val="BodyText"/>
      </w:pPr>
    </w:p>
    <w:p>
      <w:pPr>
        <w:pStyle w:val="BodyText"/>
      </w:pPr>
      <w:r>
        <w:t>To be translated from Dutch.</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