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De stichting had als doel een museum te stichten door het bijeenbrengen van verschillende objectcollecties die door missionarissen mee naar Nederland waren gebracht. Rond die tijd waren er verschillende congregaties in Tilburg actief die allen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Samen met het Natuurhistorisch Museum verhuisde het Nederlands Volkenkundig Missiemuseum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geloofsgroepen uit heel Nederland: paters minderbroeders kapucijnen, Tilburg; paters minderbroeders franciscanen, Weert; missionarissen Heilig Hart, Tilburg; missionarissen van Scheut, Sparrendaal; Sociëteit der Afrikaansche Missiën Kadier en Keer; paters jezuïeten, Nijmegen; missionarissen van Mill Hill, Roosendaal; missionarissen van het Heilig Woord, Teteringen; fraters van Tilburg; broeders Onbevlekte Ontvangenis, Maastricht; zusters Ursulinen, Maria-oord, Vught; missiezusters van het Kostbaar Bloed, Aarie Rixtel; Witte Zusters van Lavigerie, Boxtel; en Dochters van O.L.V. van het Heilig Hart, Tilburg.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 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 verhaal van Peerke Donders, die als missionaris in Suriname en voormalig Nederlands Indië actief was, aan de hand van objecten verteld. Ook het Stadsmuseum Tilburg beheerd een interessante collectie, van onder andere de Fraters van Tilburg. Het betreft met name een grote collectie fotomateriaal uit het Caribische gebied.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