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Rotterdam. De komst van objecten afkomstig uit gekoloniseerde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