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1843. The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buyers were private individuals,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objects.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