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 and delineate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how to select objects and how to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delineate your (provenance)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recognise objects from a colonial context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museum and other collections in the Netherlands contain objects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Some of these are not traceable because the registration does not mention a place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 of manufacture. This may be due to objects having been registered using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'oriental' or 'African', which do not provide sufficient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cultural origin, or because objects have ended up in more general collections of,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example, 'swords' or ones belonging to a particular art collector.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first step in provenance research is to identify the place of manufacture. This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require specific expertise. If you have a general question about colonial collections 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 wants to contact experts in countries of origin, or if you are a researcher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would like to get in touch with institutions in the Netherlands, then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They can help you with information and possible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contacts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If you wou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 like to kn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ow wha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from a particular place or culture is present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collections, then consult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moments are of particular importance in provenance research into colonial collections: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moment the object came into European hands and the moment it was exported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country of origin to Europe. In the case of objects that entered the collection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it is usually safe to assume that these were also exported from the area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 while it was under colonial rule. Other objects, however, may initially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a colonial context and have only entered the collection many years later.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select objects with a problematic provenance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your purpose is to identify objects that were looted or otherwise involuntarily surrendered,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will be required to obtain any clarity on this. In some cases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basic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will suffice to reveal a problematic provenance but often extensive resea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rch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necessar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 are various categories of objects that could be prioritised in this context: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and collections that are the subject of an application for restitution;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Human remains or objects suspected of containing human remains;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that are to be exhibited;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Objects originating from areas known to have been subject to extensive war looting (for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the Kingdom of Benin, Aceh or Lombok);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Statues and other decorations from buildings and monuments (for example, shrines,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temples, mosques, mausoleums or cemeteries);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from excavations, especially any undocumented findings.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If the object is from a private collection, it is worth first finding out whether it is known who</w:t>
      </w:r>
    </w:p>
    <w:p>
      <w:pPr>
        <w:sectPr>
          <w:pgSz w:w="11900" w:h="16840"/>
          <w:pgMar w:top="448" w:right="97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the object to the Netherlands and what that person’s profession was. Professions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directly linked to the colonial system, such 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may provide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grounds for further research into the object’s prov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enance.</w:t>
          </w:r>
        </w:hyperlink>
      </w:r>
    </w:p>
    <w:p>
      <w:pPr>
        <w:autoSpaceDN w:val="0"/>
        <w:autoSpaceDE w:val="0"/>
        <w:widowControl/>
        <w:spacing w:line="430" w:lineRule="exact" w:before="308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you want to share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information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the goal is to provide transparent information to your institution’s audience, the priority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lie with objects on display. In that case it is important that the communities of origin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consulted and that their perspectives and interests are part of the research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exhibition. Where large numbers of objects are to be published in an online database the aim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to at least carry out basic research and to make the resulting data as publicly accessible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preparing an application for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restitution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priority at museums is driven by external parties, for example in the case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application for restitution or a public debate surrounding certain objects. If you yourself wish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submit an application for restitution it may also be useful to first research the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relevant object, for example to determine whether it was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also be undertaken proactively, for example if the custodian expects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application for restitution to be made. In that case, priority may be given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to be of great historical, cultural or spiritual value to communities of origin. Ideally,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prioritisation of provenance research should take place on the recommendation of, or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consultation with, communities of origin and local experts.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8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en/contact-2/" TargetMode="External"/><Relationship Id="rId10" Type="http://schemas.openxmlformats.org/officeDocument/2006/relationships/hyperlink" Target="https://app.colonialcollections.nl/en" TargetMode="External"/><Relationship Id="rId11" Type="http://schemas.openxmlformats.org/officeDocument/2006/relationships/hyperlink" Target="https://app.colonialcollections.nl/en/research-aids/https%3A%2F%2Fn2t%252Enet%2Fark%3A%2F27023%2Fd2741eb61e9f4b63fa0d750159b2503d" TargetMode="External"/><Relationship Id="rId12" Type="http://schemas.openxmlformats.org/officeDocument/2006/relationships/hyperlink" Target="https://app.colonialcollections.nl/en/research-aids/https%3A%2F%2Fn2t%252Enet%2Fark%3A%2F27023%2F0ceff3da7d6bba371bb16767a65b619e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