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de voorzitter van de Yachtvereni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ging. Toe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uit schenkingen van onder andere zeelieden, handelaren en militairen.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de collectie Javaanse gebatikte doeken en andersoortige voorwerpen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van de negentiende eeuw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Advies van het museum plaatsnam,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dien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aanmoedig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aan de gemeente Rotterdam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etnografisch museum te stichten. Vanaf het begin van de twintigste eeuw werd 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van de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meente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rtge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nier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pgebou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wd.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stukk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Volkenkunde. Dit archief loopt tot 1960 omdat vanaf dat moment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organisaties van het Museum voor Land- en Volkenkunde en het Maritiem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Prins Hendrik los van elkaar verder gingen. Onder de inventarisnummers 282 tot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archief loopt vanaf 1961 omdat vanaf dat moment de organisaties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Land- en Volkenkunde en het Maritiem Museum Prins Hendrik los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elkaar verder gingen. Onder de inventarisnummers 147 tot en met 177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Liane van der Linden en René Wassing. Schatten van het Museum voor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