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Surinamerivier werd in 1651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een plantagekolonie gesticht. Aanleiding hiervoor was het Deze kolonie diende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uitbreiding van de suikerplantages op 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suikerplantages op het kleine eiland Barbados AANPASSEN. In 1667 werd deze kolonie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Engels-Nederlandse Oorlog door een Zeeuwse vloot veroverd. In 1683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verkochten de Zeeuwen de kolonie aan de West-Indische Compagnie (WIC), waarna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Sociëteit van Suriname werd opgericht om de kolonie te besturen. Deze sociëteit had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gelijke verhoudingen de WIC, de familie Van Aerssen van Sommelsdijck en de stad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als aandeelhouders. Na. In 1954 aanvaardde Suriname samen met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het Statuut voor het Koninkrijk der Nederlanden.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 of wijzigingen doorkomen.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dat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6" w:bottom="4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