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Other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refere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ce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orks are 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at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end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research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 of the object. One common method is to continue the investigation by firstly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researching these individuals or organisations and then working back in time using the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supplemented it may be worth repeating a previously unsuccessful query at a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4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and collections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Akinsha,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 and Vermaat, Simone (eds.),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collectieregistrati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_ (Rijksdienst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ureel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oed,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on researching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restitution policy</w:t>
      </w:r>
    </w:p>
    <w:p>
      <w:pPr>
        <w:autoSpaceDN w:val="0"/>
        <w:autoSpaceDE w:val="0"/>
        <w:widowControl/>
        <w:spacing w:line="288" w:lineRule="exact" w:before="240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en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www.niod.nl/en/publications/clues-PPROCE" TargetMode="External"/><Relationship Id="rId15" Type="http://schemas.openxmlformats.org/officeDocument/2006/relationships/hyperlink" Target="https://search.worldcat.org/title/The-AAM-guide-to-provenance-research/oclc/46671065" TargetMode="External"/><Relationship Id="rId16" Type="http://schemas.openxmlformats.org/officeDocument/2006/relationships/hyperlink" Target="https://www.museumsbund.de/publikationen/guidelines-on-dealing-with-collections-from-colonial-contexts-2/" TargetMode="External"/><Relationship Id="rId17" Type="http://schemas.openxmlformats.org/officeDocument/2006/relationships/hyperlink" Target="https://www.museumsbund.de/wp-content/uploads/2017/04/2013-recommendations-for-the-care-of-human-remains.pdf" TargetMode="External"/><Relationship Id="rId18" Type="http://schemas.openxmlformats.org/officeDocument/2006/relationships/hyperlink" Target="https://www.cultureelerfgoed.nl/publicaties/publicaties/2021/01/01/handreiking-onderzoek-naar-sporen-van-slavernij-en-het-koloniale-verleden-in-de-collectieregistra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