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and collections acquired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Rijksmuseum, 2022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