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rlands Indies)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1820. This commission,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Buitenzorg),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tasked with seeking minerals and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 local fl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1839 to 1847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edited by C.J. Temminck, director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RNMH. After the dissolution of the commission in 1850, the publications, collected objects,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correspondence, etc. were included in the collection of the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Historie. The foundation of the present-day Naturalis collection is, thus, explicitly linked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past. Even after the Natuurkundige Commissie was disbanded, collectors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 and elsewhere were encouraged by the RMNH to continue making their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collections of Amsterdam and Delft universities. Archives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ralis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