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2 Research Aid_</w:t>
        <w:br/>
        <w:t>_first edited by wiebe reints as original_author on 2024-03-26_</w:t>
        <w:br/>
        <w:t>_last edited by wiebe reints as original_author on 2024-03-26_</w:t>
      </w:r>
    </w:p>
    <w:p>
      <w:pPr>
        <w:pStyle w:val="BodyText"/>
      </w:pPr>
    </w:p>
    <w:p>
      <w:pPr>
        <w:pStyle w:val="Title"/>
      </w:pPr>
      <w:r>
        <w:t>Leger- en marinepersoneel in gekoloniseerde gebieden</w:t>
      </w:r>
    </w:p>
    <w:p>
      <w:pPr>
        <w:pStyle w:val="BodyText"/>
      </w:pPr>
    </w:p>
    <w:p>
      <w:pPr>
        <w:pStyle w:val="Heading1"/>
      </w:pPr>
      <w:r>
        <w:t>Abstract</w:t>
      </w:r>
    </w:p>
    <w:p>
      <w:pPr>
        <w:pStyle w:val="BodyText"/>
      </w:pPr>
    </w:p>
    <w:p>
      <w:pPr>
        <w:pStyle w:val="BodyText"/>
      </w:pPr>
      <w:r>
        <w:t>Leger- en marinepersoneel dat actief was in gekoloniseerde gebieden, verzamelde op verschillende manieren objecten tijdens het koloniale tijdperk. Objecten kunnen zijn buitgemaakt, geschonken of gekocht van de lokale bevolking. Later werden deze objecten vaak gedoneerd aan colllectiebeherende instellingen in Nederland.</w:t>
      </w:r>
    </w:p>
    <w:p>
      <w:pPr>
        <w:pStyle w:val="BodyText"/>
      </w:pPr>
    </w:p>
    <w:p>
      <w:pPr>
        <w:pStyle w:val="BodyText"/>
      </w:pPr>
      <w:r>
        <w:t>Leger- en marinepersoneel dat actief was in gekoloniseerde gebieden, verzamelde op verschillende manieren objecten tijdens het koloniale tijdperk. Objecten kunnen zijn buitgemaakt, geschonken of gekocht van de lokale bevolking. Later werden deze objecten vaak gedoneerd aan colllectiebeherende instellingen in Nederland.</w:t>
      </w:r>
    </w:p>
    <w:p>
      <w:pPr>
        <w:pStyle w:val="BodyText"/>
      </w:pPr>
    </w:p>
    <w:p>
      <w:pPr>
        <w:pStyle w:val="Heading2"/>
      </w:pPr>
      <w:r>
        <w:t>Beschrijving</w:t>
      </w:r>
    </w:p>
    <w:p>
      <w:pPr>
        <w:pStyle w:val="BodyText"/>
      </w:pPr>
    </w:p>
    <w:p>
      <w:pPr>
        <w:pStyle w:val="BodyText"/>
      </w:pPr>
      <w:r>
        <w:t>Het Nederlandse gezag in Nederlands-Indië, Suriname en op de Caribische eilanden steunde in belangrijke mate op de inzet van het leger. In Nederlands-Indië was het Koninklijk Nederlandsch- Indisch Leger (KNIL) actief. Het KNIL werd gevormd door officieren met Nederlandse of een andere Europese nationaliteit en veelal lokale soldaten. In Suriname en Curaçao was de koloniale troepenmacht in de 19de eeuw het West-Indische leger, dat op zijn beurt deel was van het Nederlandse leger. In de 20ste eeuw werden de officieren voor Suriname gerekruteerd uit het KNIL, terwijl de onderofficieren en soldaten zowel in Europa als lokaal werden geworven. Tijdens de onafhankelijkheidsoorlog van Indonesië (1945-1949) werden tienduizenden vrijwillige en dienstplichtige soldaten uit het Nederlandse leger ingezet.</w:t>
      </w:r>
    </w:p>
    <w:p>
      <w:pPr>
        <w:pStyle w:val="BodyText"/>
      </w:pPr>
    </w:p>
    <w:p>
      <w:pPr>
        <w:pStyle w:val="BodyText"/>
      </w:pPr>
      <w:r>
        <w:t>Slechts een gering aantal voorwerpen in Nederlandse musea betreft officiële oorlogsbuit die op bevel van de koloniale legers naar Nederland werd gezonden. Een bekend voorbeeld is de zogenaamde Lombokschat. Er zijn veel meer voorwerpen die afkomstig zijn van individuele militairen en die door particulier initiatief in Nederland terechtkwamen. Er waren verschillende manieren waarop militair personeel aan deze voorwerpen kwam: ze konden zijn buitgemaakt, geschonken of gekocht van de lokale bevolking.</w:t>
      </w:r>
    </w:p>
    <w:p>
      <w:pPr>
        <w:pStyle w:val="BodyText"/>
      </w:pPr>
    </w:p>
    <w:p>
      <w:pPr>
        <w:pStyle w:val="BodyText"/>
      </w:pPr>
      <w:r>
        <w:t>In het geval van ontvangen geschenken en voorwerpen die zijn gekocht door militairen moet onthouden worden dat er sprake was van ongelijke machtsverhoudingen tussen kolonisator en gekoloniseerde. Voorwerpen kunnen zijn verkocht of geschonken uit angst, om de overheerser te gunstig te stemmen of omdat de voortdurende oorlogssituatie leidde tot verarming van de bevolking.</w:t>
      </w:r>
    </w:p>
    <w:p>
      <w:pPr>
        <w:pStyle w:val="BodyText"/>
      </w:pPr>
    </w:p>
    <w:p>
      <w:pPr>
        <w:pStyle w:val="Heading2"/>
      </w:pPr>
      <w:r>
        <w:t>Herkomstonderzoek</w:t>
      </w:r>
    </w:p>
    <w:p>
      <w:pPr>
        <w:pStyle w:val="BodyText"/>
      </w:pPr>
    </w:p>
    <w:p>
      <w:pPr>
        <w:pStyle w:val="BodyText"/>
      </w:pPr>
      <w:r>
        <w:t>Militairen in de koloniale legers wisselden regelmatig van functie en standplaats en zij klommen op in rang. De rang die vermeld staat in de objectdocumentatie kan een andere zijn dan de rang ten tijde van verwerving in het herkomstland. De personeelsdossiers (stamboeken) in het Nationaal Archief en de officiersboekjes zijn betrouwbare bronnen om de rang, functie en standplaats ten tijde van verwerving te achterhalen. Via de gedigitaliseerde kranten op Delpher kan nadere informatie over de oorlogshandelingen en verdere werkzaamheden van de betreffende militair worden achterhaald.</w:t>
      </w:r>
    </w:p>
    <w:p>
      <w:pPr>
        <w:pStyle w:val="BodyText"/>
      </w:pPr>
    </w:p>
    <w:p>
      <w:pPr>
        <w:pStyle w:val="BodyText"/>
      </w:pPr>
      <w:r>
        <w:t>Om informatie over een militair te vinden is het van belang om eerst te bepalen bij welk leger of legeronderdeel de militair in dienst was, zoals de Landmacht (het Nederlandse leger), het KNIL of de marine. De zoekhulpen Militairen en Marinepersoneel van het Nationaal Archief kan daarbij van dienst zijn.</w:t>
      </w:r>
    </w:p>
    <w:p>
      <w:pPr>
        <w:pStyle w:val="BodyText"/>
      </w:pPr>
    </w:p>
    <w:p>
      <w:pPr>
        <w:pStyle w:val="BodyText"/>
      </w:pPr>
      <w:r>
        <w:t>Via het Nationaal Archief zijn de personeelsdossiers (stamboeken) van militairen en marinepersoneel digitaal doorzoekbaar. Er zijn zoekhulpen voor Nederlands-Indië, West-Indië en de verschillende marine- en legeronderdelen. De stamboeken bevatten informatie over wanneer een militair of marinier waar gestationeerd was en summiere persoonlijke gegevens. Een verklarende woordenlijst geeft uitleg over de afkortingen in de stamboeken.</w:t>
      </w:r>
    </w:p>
    <w:p>
      <w:pPr>
        <w:pStyle w:val="BodyText"/>
      </w:pPr>
    </w:p>
    <w:p>
      <w:pPr>
        <w:pStyle w:val="BodyText"/>
      </w:pPr>
      <w:r>
        <w:t>De personeelsdossiers van de soldaten die in 1945-1949 naar Indonesië zijn uitgezonden bevinden zich tot 2026-2027 bij het Ministerie van Defensie en zijn daar opvraagbaar. Om toegang te krijgen tot een staat van dienst moet een akte van overlijden worden meegestuurd. Voor overlijdensaktes gelden privacybeperkingen, maar een uittreksel van de persoonskaart geldt ook. De uittreksels zijn opvraagbaar bij het CBG (Centrum voor Familiegeschiedenis). Belangrijke informatie op de staat van dienst betreft de legereenheid waarin de soldaat diende. Met betrekking tot vrijwel iedere legereenheid zijn archiefstukken en/of egodocumenten in archieven en publicaties te vinden. Deze bevinden zich met name in de collecties van het NIOD, het NIMH en bij de Universitaire Bibliotheken Leiden.</w:t>
      </w:r>
    </w:p>
    <w:p>
      <w:pPr>
        <w:pStyle w:val="BodyText"/>
      </w:pPr>
    </w:p>
    <w:p>
      <w:pPr>
        <w:pStyle w:val="BodyText"/>
      </w:pPr>
      <w:r>
        <w:t>Museum Bronbeek is een kenniscentrum van het koloniaal-militair verleden van Nederland. De nadruk ligt op Nederlands-Indië, maar er is ook materiaal uit andere koloniën aanwezig. U kunt contact opnemen met loket.bronbeek@mindef.nl om informatie op te vragen over een bepaalde militair, gebeurtenis of object.</w:t>
      </w:r>
    </w:p>
    <w:p>
      <w:pPr>
        <w:pStyle w:val="BodyText"/>
      </w:pPr>
    </w:p>
    <w:p>
      <w:pPr>
        <w:pStyle w:val="Heading1"/>
      </w:pPr>
      <w:r>
        <w:t>Related Aids</w:t>
      </w:r>
    </w:p>
    <w:p>
      <w:pPr>
        <w:pStyle w:val="BodyText"/>
      </w:pPr>
    </w:p>
    <w:p>
      <w:pPr>
        <w:pStyle w:val="BodyText"/>
      </w:pPr>
      <w:r>
        <w:t>_see also: Bronnen_</w:t>
        <w:br/>
        <w:t>_see also: Selecteren en afbakenen_</w:t>
        <w:br/>
        <w:t>_see also: Ambtenaren in gekoloniseerde gebieden_</w:t>
        <w:br/>
        <w:t>_see also: Wetenschappelijk onderzoek in gekoloniseerde gebieden_</w:t>
        <w:br/>
        <w:t>_see also: De handel in objecten uit een koloniale context_</w:t>
        <w:br/>
        <w:t>_see also: Koninklijk Kabinet van Zeldzaamheden_</w:t>
        <w:br/>
        <w:t>_see also: Wereldmuseum Amsterdam_</w:t>
        <w:br/>
        <w:t>_see also: Wereldmuseum Leiden_</w:t>
        <w:br/>
        <w:t>_see also: Wereldmuseum Leiden_</w:t>
        <w:br/>
        <w:t>_see also: Museum Bronbeek_</w:t>
        <w:br/>
        <w:t>_see also: Rijksmuseum Amsterdam_</w:t>
        <w:br/>
        <w:t>_see also: Hoofdcursus Kampen_</w:t>
        <w:br/>
        <w:t>_see also: Volkenkundig Museum Justinus van Nassau_</w:t>
      </w:r>
    </w:p>
    <w:p>
      <w:pPr>
        <w:pStyle w:val="BodyText"/>
      </w:pPr>
    </w:p>
    <w:p>
      <w:pPr>
        <w:pStyle w:val="Heading1"/>
      </w:pPr>
      <w:r>
        <w:t>Primary sources</w:t>
      </w:r>
    </w:p>
    <w:p>
      <w:pPr>
        <w:pStyle w:val="BodyText"/>
      </w:pPr>
    </w:p>
    <w:p>
      <w:pPr>
        <w:pStyle w:val="BodyText"/>
      </w:pPr>
      <w:r>
        <w:t>Almanak:</w:t>
      </w:r>
    </w:p>
    <w:p>
      <w:pPr>
        <w:pStyle w:val="BodyText"/>
      </w:pPr>
    </w:p>
    <w:p>
      <w:pPr>
        <w:pStyle w:val="BodyText"/>
      </w:pPr>
    </w:p>
    <w:p>
      <w:pPr>
        <w:pStyle w:val="BodyText"/>
      </w:pPr>
      <w:r>
        <w:t>Beeldcollectie:</w:t>
      </w:r>
    </w:p>
    <w:p>
      <w:pPr>
        <w:pStyle w:val="BodyText"/>
      </w:pPr>
    </w:p>
    <w:p>
      <w:pPr>
        <w:pStyle w:val="BodyText"/>
      </w:pPr>
    </w:p>
    <w:p>
      <w:pPr>
        <w:pStyle w:val="BodyText"/>
      </w:pPr>
      <w:r>
        <w:t>Museum:</w:t>
      </w:r>
    </w:p>
    <w:p>
      <w:pPr>
        <w:pStyle w:val="BodyText"/>
      </w:pPr>
    </w:p>
    <w:p>
      <w:pPr>
        <w:pStyle w:val="BodyText"/>
      </w:pPr>
    </w:p>
    <w:p>
      <w:pPr>
        <w:pStyle w:val="BodyText"/>
      </w:pPr>
      <w:r>
        <w:t>Webportal:</w:t>
      </w:r>
    </w:p>
    <w:p>
      <w:pPr>
        <w:pStyle w:val="BodyText"/>
      </w:pPr>
    </w:p>
    <w:p>
      <w:pPr>
        <w:pStyle w:val="BodyText"/>
      </w:pPr>
    </w:p>
    <w:p>
      <w:pPr>
        <w:pStyle w:val="Heading1"/>
      </w:pPr>
      <w:r>
        <w:t>Secondary sources</w:t>
      </w:r>
    </w:p>
    <w:p>
      <w:pPr>
        <w:pStyle w:val="BodyText"/>
      </w:pPr>
    </w:p>
    <w:p>
      <w:pPr>
        <w:pStyle w:val="BodyText"/>
      </w:pPr>
      <w:r>
        <w:t>Artikel:</w:t>
      </w:r>
    </w:p>
    <w:p>
      <w:pPr>
        <w:pStyle w:val="BodyText"/>
      </w:pPr>
    </w:p>
    <w:p>
      <w:pPr>
        <w:pStyle w:val="BodyText"/>
      </w:pPr>
    </w:p>
    <w:p>
      <w:pPr>
        <w:pStyle w:val="BodyText"/>
      </w:pPr>
      <w:r>
        <w:t>Boek:</w:t>
      </w:r>
    </w:p>
    <w:p>
      <w:pPr>
        <w:pStyle w:val="BodyText"/>
      </w:pPr>
    </w:p>
    <w:p>
      <w:pPr>
        <w:pStyle w:val="BodyText"/>
      </w:pPr>
    </w:p>
    <w:p>
      <w:pPr>
        <w:pStyle w:val="BodyText"/>
      </w:pPr>
      <w:r>
        <w:t>Zoekhulp:</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Tags:</w:t>
        <w:br/>
        <w:t xml:space="preserve">  Activity:</w:t>
      </w:r>
    </w:p>
    <w:p>
      <w:pPr>
        <w:pStyle w:val="BodyText"/>
      </w:pPr>
    </w:p>
    <w:p>
      <w:pPr>
        <w:pStyle w:val="BodyText"/>
      </w:pPr>
      <w:r>
        <w:t>Adelborst, Luitenant-ter-zee, Matroos, Officier, Onderofficier, Soldaat</w:t>
        <w:br/>
        <w:t>,</w:t>
        <w:br/>
        <w:t xml:space="preserve">  Type of objects:</w:t>
      </w:r>
    </w:p>
    <w:p>
      <w:pPr>
        <w:pStyle w:val="BodyText"/>
      </w:pPr>
    </w:p>
    <w:p>
      <w:pPr>
        <w:pStyle w:val="BodyText"/>
      </w:pPr>
      <w:r>
        <w:t>,</w:t>
        <w:br/>
        <w:t xml:space="preserve">  Geographical:</w:t>
      </w:r>
    </w:p>
    <w:p>
      <w:pPr>
        <w:pStyle w:val="BodyText"/>
      </w:pPr>
    </w:p>
    <w:p>
      <w:pPr>
        <w:pStyle w:val="BodyText"/>
      </w:pPr>
      <w:r>
        <w:t>ABCSSS-eilanden, Indonesië, Suriname</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