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de voorzitter van de Yachtvereni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ging. Toe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uit schenkingen van onder andere zeelieden, handelaren en militairen.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de collectie Javaanse gebatikte doeken en andersoortige voorwerpen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van de negentiende eeuw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Advies van het museum plaatsnam,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aanmoedig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aan de gemeente Rotterdam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etnografisch museum te stichten. Vanaf het begin van de twintigste eeuw werd 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bezit van de gemeente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nier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pgebou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wd.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Volkenkunde. Dit archief loopt tot 1960 omdat vanaf dat moment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organisaties van het Museum voor Land- en Volkenkunde en het Maritiem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Prins Hendrik los van elkaar verder gingen. Onder de inventarisnummers 282 tot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archief loopt vanaf 1961 omdat vanaf dat moment de organisaties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Land- en Volkenkunde en het Maritiem Museum Prins Hendrik los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elkaar verder gingen. Onder de inventarisnummers 147 tot en met 177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Liane van der Linden en René Wassing. Schatten van het Museum voor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