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 bronnen met betre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betreffend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Koninklijk Instituut voor Taal-, Land- en Volkenkund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werden de bevindingen van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41e407de73f6c70da371491009c52198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a27519d4364922f3fcd460ffa5f479cf" TargetMode="External"/><Relationship Id="rId24" Type="http://schemas.openxmlformats.org/officeDocument/2006/relationships/hyperlink" Target="https://app.colonialcollections.nl/nl/research-aids/https%3A%2F%2Fn2t%252Enet%2Fark%3A%2F27023%2F7b894b230f3bacb1d0c34c1e4d74036b" TargetMode="External"/><Relationship Id="rId25" Type="http://schemas.openxmlformats.org/officeDocument/2006/relationships/hyperlink" Target="https://app.colonialcollections.nl/nl/research-aids/https%3A%2F%2Fn2t%252Enet%2Fark%3A%2F27023%2Fba9397040f2cf7f618e2180fb6c90208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app.colonialcollections.nl/nl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