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History) in 1820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Rotterdam in 1885.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