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ts in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 tot 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herkomstgebeurtenissen,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resten.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moet er rekening worden gehouden met de geldende auteursrechten, indien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2024-05-01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