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720" w:lineRule="exact" w:before="0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>Doing research</w:t>
      </w:r>
    </w:p>
    <w:p>
      <w:pPr>
        <w:autoSpaceDN w:val="0"/>
        <w:autoSpaceDE w:val="0"/>
        <w:widowControl/>
        <w:spacing w:line="540" w:lineRule="exact" w:before="21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88" w:lineRule="exact" w:before="292" w:after="0"/>
        <w:ind w:left="10" w:right="115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this research aid you find information on the steps you can follow during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(provenance) research and how you collect relevant information for your research.</w:t>
      </w:r>
    </w:p>
    <w:p>
      <w:pPr>
        <w:autoSpaceDN w:val="0"/>
        <w:autoSpaceDE w:val="0"/>
        <w:widowControl/>
        <w:spacing w:line="538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What steps can you follow?</w:t>
      </w:r>
    </w:p>
    <w:p>
      <w:pPr>
        <w:autoSpaceDN w:val="0"/>
        <w:autoSpaceDE w:val="0"/>
        <w:widowControl/>
        <w:spacing w:line="288" w:lineRule="exact" w:before="29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Provenance research can be approached in various ways. Depending on the purpose of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research you will go through one or more of the steps below. In practice, these steps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overlap and can be carried out simultaneously. Many possible research steps are described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detail in the report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Clues;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Research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into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provenance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history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and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significanc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>e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o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</w:rPr>
        <w:t>f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cultural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 xml:space="preserve">objects 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and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collections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acqui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red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in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</w:rPr>
        <w:hyperlink r:id="rId9" w:history="1">
          <w:r>
            <w:rPr>
              <w:rStyle w:val="Hyperlink"/>
            </w:rPr>
            <w:t xml:space="preserve">colonial 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s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itua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t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ions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 xml:space="preserve"> and th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 publication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Provenan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c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e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r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esearch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 xml:space="preserve">into 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coll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e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ctions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fro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</w:rPr>
        <w:t>m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a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coloni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al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context.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A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guide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 xml:space="preserve"> b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y the Cultural Herita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 xml:space="preserve">ge Agency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o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f the Ne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ther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ands.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Other relevant re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 xml:space="preserve">ference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works 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listed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at the end of this research aid.</w:t>
      </w:r>
    </w:p>
    <w:p>
      <w:pPr>
        <w:autoSpaceDN w:val="0"/>
        <w:autoSpaceDE w:val="0"/>
        <w:widowControl/>
        <w:spacing w:line="358" w:lineRule="exact" w:before="176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Step 1: Collection research</w:t>
      </w:r>
    </w:p>
    <w:p>
      <w:pPr>
        <w:autoSpaceDN w:val="0"/>
        <w:autoSpaceDE w:val="0"/>
        <w:widowControl/>
        <w:spacing w:line="352" w:lineRule="exact" w:before="17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For collection managers:</w:t>
      </w:r>
    </w:p>
    <w:p>
      <w:pPr>
        <w:autoSpaceDN w:val="0"/>
        <w:autoSpaceDE w:val="0"/>
        <w:widowControl/>
        <w:spacing w:line="288" w:lineRule="exact" w:before="240" w:after="0"/>
        <w:ind w:left="398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•  Which parts of the collection and periods of collecting are relevant for further research?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•  What information can be added for multiple objects within the collection?</w:t>
      </w:r>
    </w:p>
    <w:p>
      <w:pPr>
        <w:autoSpaceDN w:val="0"/>
        <w:autoSpaceDE w:val="0"/>
        <w:widowControl/>
        <w:spacing w:line="352" w:lineRule="exact" w:before="176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For researchers:</w:t>
      </w:r>
    </w:p>
    <w:p>
      <w:pPr>
        <w:autoSpaceDN w:val="0"/>
        <w:tabs>
          <w:tab w:pos="610" w:val="left"/>
        </w:tabs>
        <w:autoSpaceDE w:val="0"/>
        <w:widowControl/>
        <w:spacing w:line="288" w:lineRule="exact" w:before="240" w:after="0"/>
        <w:ind w:left="398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Which collections are of particular interest and where did the objects you researched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typically tend to end up?</w:t>
      </w:r>
    </w:p>
    <w:p>
      <w:pPr>
        <w:autoSpaceDN w:val="0"/>
        <w:autoSpaceDE w:val="0"/>
        <w:widowControl/>
        <w:spacing w:line="352" w:lineRule="exact" w:before="0" w:after="0"/>
        <w:ind w:left="398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•  Which individuals or institutions played a role in this?</w:t>
      </w:r>
    </w:p>
    <w:p>
      <w:pPr>
        <w:autoSpaceDN w:val="0"/>
        <w:autoSpaceDE w:val="0"/>
        <w:widowControl/>
        <w:spacing w:line="352" w:lineRule="exact" w:before="176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For more information about this step, please consult the research aid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Select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and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delineate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58" w:lineRule="exact" w:before="176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Step 2: Basic research</w:t>
      </w:r>
    </w:p>
    <w:p>
      <w:pPr>
        <w:autoSpaceDN w:val="0"/>
        <w:autoSpaceDE w:val="0"/>
        <w:widowControl/>
        <w:spacing w:line="288" w:lineRule="exact" w:before="234" w:after="0"/>
        <w:ind w:left="610" w:right="144" w:hanging="212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Examining the object itself. This may include provenance information on the object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form of traces of use, serial numbers and identification stickers as well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identifying its function and geographical and cultural origin.</w:t>
      </w:r>
    </w:p>
    <w:p>
      <w:pPr>
        <w:autoSpaceDN w:val="0"/>
        <w:autoSpaceDE w:val="0"/>
        <w:widowControl/>
        <w:spacing w:line="352" w:lineRule="exact" w:before="0" w:after="0"/>
        <w:ind w:left="398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•  Consulting the collection documentation available, both digitally and on paper.</w:t>
      </w:r>
    </w:p>
    <w:p>
      <w:pPr>
        <w:autoSpaceDN w:val="0"/>
        <w:tabs>
          <w:tab w:pos="610" w:val="left"/>
        </w:tabs>
        <w:autoSpaceDE w:val="0"/>
        <w:widowControl/>
        <w:spacing w:line="288" w:lineRule="exact" w:before="64" w:after="0"/>
        <w:ind w:left="398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•  Identifying when, how and from whom the current owner acquired the object.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Conducting research into the individual from whom the object was acquired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aim of establishing their identity, such as their full name, year of birth and death,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profession and place of residence.</w:t>
      </w:r>
    </w:p>
    <w:p>
      <w:pPr>
        <w:autoSpaceDN w:val="0"/>
        <w:autoSpaceDE w:val="0"/>
        <w:widowControl/>
        <w:spacing w:line="352" w:lineRule="exact" w:before="0" w:after="0"/>
        <w:ind w:left="398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•  Conducting research into the history of the museum.</w:t>
      </w:r>
    </w:p>
    <w:p>
      <w:pPr>
        <w:autoSpaceDN w:val="0"/>
        <w:autoSpaceDE w:val="0"/>
        <w:widowControl/>
        <w:spacing w:line="358" w:lineRule="exact" w:before="176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Step 2: Further research</w:t>
      </w:r>
    </w:p>
    <w:p>
      <w:pPr>
        <w:autoSpaceDN w:val="0"/>
        <w:autoSpaceDE w:val="0"/>
        <w:widowControl/>
        <w:spacing w:line="288" w:lineRule="exact" w:before="234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most cases basic research will not lead to information about how the object was acquired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in its region of origin. This will require further research.</w:t>
      </w:r>
    </w:p>
    <w:p>
      <w:pPr>
        <w:autoSpaceDN w:val="0"/>
        <w:autoSpaceDE w:val="0"/>
        <w:widowControl/>
        <w:spacing w:line="288" w:lineRule="exact" w:before="240" w:after="0"/>
        <w:ind w:left="0" w:right="432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basic research may reveal one or more individuals or organisations connected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acquisition of the object. One common method is to continue the investigation by firstly</w:t>
      </w:r>
    </w:p>
    <w:p>
      <w:pPr>
        <w:sectPr>
          <w:pgSz w:w="11900" w:h="16840"/>
          <w:pgMar w:top="448" w:right="964" w:bottom="502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researching these individuals or organisations and then working back in time using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sources that emerge. Another method takes as its starting point the object itself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knowledge that exists about it among communities of origin, and works forward in time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there. Both methods may include one or more of the following steps:</w:t>
      </w:r>
    </w:p>
    <w:p>
      <w:pPr>
        <w:autoSpaceDN w:val="0"/>
        <w:tabs>
          <w:tab w:pos="610" w:val="left"/>
        </w:tabs>
        <w:autoSpaceDE w:val="0"/>
        <w:widowControl/>
        <w:spacing w:line="288" w:lineRule="exact" w:before="240" w:after="0"/>
        <w:ind w:left="398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•  Research into previous owners and custodians;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Research into the means of acquisition in the colonial context and the broader context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in which this took place;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•  Research into the how the object was used;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•  Consultation with communities of origin and other experts.</w:t>
      </w:r>
    </w:p>
    <w:p>
      <w:pPr>
        <w:autoSpaceDN w:val="0"/>
        <w:autoSpaceDE w:val="0"/>
        <w:widowControl/>
        <w:spacing w:line="288" w:lineRule="exact" w:before="240" w:after="0"/>
        <w:ind w:left="1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Research into the origin of individual objects can be time consuming. The process may go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faster if multiple objects were acquired at the same time, especially where multiple objects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are mentioned in the available source material.</w:t>
      </w:r>
    </w:p>
    <w:p>
      <w:pPr>
        <w:autoSpaceDN w:val="0"/>
        <w:autoSpaceDE w:val="0"/>
        <w:widowControl/>
        <w:spacing w:line="538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How do you obtain information?</w:t>
      </w:r>
    </w:p>
    <w:p>
      <w:pPr>
        <w:autoSpaceDN w:val="0"/>
        <w:autoSpaceDE w:val="0"/>
        <w:widowControl/>
        <w:spacing w:line="288" w:lineRule="exact" w:before="29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Provenance research into objects acquired in a colonial context involves using a very diverse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range of sources. In the past, information about the provenance and former owners of objects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was considered of little or no importance. Also, many such objects tend to have low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identification values. The available information accompanying the object is often brief and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not focused on the origin of the object. The scope of the research should therefore be broader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than documents containing information about ownership such as wills, inventories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auction catalogues. In addition to archives, oral sources such as experts from inside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outside the communities of origin may also be valuable.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most obvious course of action is to consult the archives of all the institutions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individuals who have owned or managed the object over time. Sources that provide 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insight into the historical context in which the acquisition took place may also be of interest.</w:t>
      </w:r>
    </w:p>
    <w:p>
      <w:pPr>
        <w:autoSpaceDN w:val="0"/>
        <w:autoSpaceDE w:val="0"/>
        <w:widowControl/>
        <w:spacing w:line="288" w:lineRule="exact" w:before="6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Tips for searching Dutch archives can be found on the YouTube channel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Kennisnetwerk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Informatie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Archief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(in Dutch). The research aid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How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do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conduct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 xml:space="preserve">archival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research?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 xml:space="preserve"> (Dut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c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h only) wa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s c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eated 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pecifically for the National Ar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chiv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s o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f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the Neth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erlands.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Possible sources include:</w:t>
      </w:r>
    </w:p>
    <w:p>
      <w:pPr>
        <w:autoSpaceDN w:val="0"/>
        <w:tabs>
          <w:tab w:pos="610" w:val="left"/>
        </w:tabs>
        <w:autoSpaceDE w:val="0"/>
        <w:widowControl/>
        <w:spacing w:line="288" w:lineRule="exact" w:before="240" w:after="0"/>
        <w:ind w:left="398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Documentation within the managing institution and previous institutions that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possession of the object for some time;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•  Personal archives and egodocuments;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•  Archives of institutions and governments;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•  Newspapers, books and magazines;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•  Visual material (for example photographs and drawings);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•  Maps and plans;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•  Communities in the areas of origin;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•  Experts with knowledge of the object or the colonial past.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research aid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Sources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provides information on where to find these sources. Backgrounds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on individuals, c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o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lonial 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nstitutions and events can be found using the digital research guides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within the Datahub or sources such as Wikipedia. Please note that various Wikipedia pages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contain information taken unfiltered from sources with a colonial perspective. It is therefore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advisable to always consult the version in the language of the area of origin as well.</w:t>
      </w:r>
    </w:p>
    <w:p>
      <w:pPr>
        <w:autoSpaceDN w:val="0"/>
        <w:autoSpaceDE w:val="0"/>
        <w:widowControl/>
        <w:spacing w:line="288" w:lineRule="exact" w:before="240" w:after="0"/>
        <w:ind w:left="1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 number of the Dutch-language sources for provenance research into colonial collections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have been digitalised, greatly facilitating the research. As digital databases are constantly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being supplemented it may be worth repeating a previously unsuccessful query at a later</w:t>
      </w:r>
    </w:p>
    <w:p>
      <w:pPr>
        <w:sectPr>
          <w:pgSz w:w="11900" w:h="16840"/>
          <w:pgMar w:top="324" w:right="978" w:bottom="372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35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date.</w:t>
      </w:r>
    </w:p>
    <w:p>
      <w:pPr>
        <w:autoSpaceDN w:val="0"/>
        <w:autoSpaceDE w:val="0"/>
        <w:widowControl/>
        <w:spacing w:line="540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Literature on conducting provenance research</w:t>
      </w:r>
    </w:p>
    <w:p>
      <w:pPr>
        <w:autoSpaceDN w:val="0"/>
        <w:autoSpaceDE w:val="0"/>
        <w:widowControl/>
        <w:spacing w:line="288" w:lineRule="exact" w:before="292" w:after="0"/>
        <w:ind w:left="600" w:right="144" w:hanging="212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Mooren, Jona, Stutje, Klaas.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Clues;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Research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into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provenance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history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and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significan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</w:rPr>
        <w:hyperlink r:id="rId15" w:history="1">
          <w:r>
            <w:rPr>
              <w:rStyle w:val="Hyperlink"/>
            </w:rPr>
            <w:t>c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>e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 xml:space="preserve">of 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</w:rPr>
        <w:t>cultural objects and collections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acqui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red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in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col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o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nia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l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situations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 xml:space="preserve"> (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Amster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dam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: Rijksmuse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u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m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2022).</w:t>
          </w:r>
        </w:hyperlink>
      </w:r>
    </w:p>
    <w:p>
      <w:pPr>
        <w:autoSpaceDN w:val="0"/>
        <w:tabs>
          <w:tab w:pos="600" w:val="left"/>
        </w:tabs>
        <w:autoSpaceDE w:val="0"/>
        <w:widowControl/>
        <w:spacing w:line="288" w:lineRule="exact" w:before="64" w:after="0"/>
        <w:ind w:left="388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Pennock, Hanna, Renate Meijer.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Provenance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research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into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collections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from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a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 xml:space="preserve">colonial 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context.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A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guide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(Amersfoort: Rijk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sdienst vo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o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r het Cu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ltur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el Erfgoed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, 202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5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)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.</w:t>
          </w:r>
        </w:hyperlink>
      </w:r>
    </w:p>
    <w:p>
      <w:pPr>
        <w:autoSpaceDN w:val="0"/>
        <w:tabs>
          <w:tab w:pos="600" w:val="left"/>
        </w:tabs>
        <w:autoSpaceDE w:val="0"/>
        <w:widowControl/>
        <w:spacing w:line="288" w:lineRule="exact" w:before="64" w:after="0"/>
        <w:ind w:left="388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 xml:space="preserve">Yeide,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N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cy, 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kinsha, Konstantin and Walsh, Amy L.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AAM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Guide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to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 xml:space="preserve">Provenance 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Research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(Washington D.C. 2001).</w:t>
      </w:r>
    </w:p>
    <w:p>
      <w:pPr>
        <w:autoSpaceDN w:val="0"/>
        <w:tabs>
          <w:tab w:pos="600" w:val="left"/>
        </w:tabs>
        <w:autoSpaceDE w:val="0"/>
        <w:widowControl/>
        <w:spacing w:line="288" w:lineRule="exact" w:before="64" w:after="0"/>
        <w:ind w:left="388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Lang, Sa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bine (ed.),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Guidelines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for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German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Museums.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Care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of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Collections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from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 xml:space="preserve">Colonial 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Contexts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 2nd Editio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n (Germa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n M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useums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Associatio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n, 20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19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).</w:t>
          </w:r>
        </w:hyperlink>
      </w:r>
    </w:p>
    <w:p>
      <w:pPr>
        <w:autoSpaceDN w:val="0"/>
        <w:tabs>
          <w:tab w:pos="600" w:val="left"/>
        </w:tabs>
        <w:autoSpaceDE w:val="0"/>
        <w:widowControl/>
        <w:spacing w:line="288" w:lineRule="exact" w:before="64" w:after="0"/>
        <w:ind w:left="388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 xml:space="preserve">Deterts,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Dorothea (ed.),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Recommendations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for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the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Care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of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Human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Remains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in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Museums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 xml:space="preserve">and 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Collections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(German Mus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>eums Association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>,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 xml:space="preserve"> 2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>0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>13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>)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>.</w:t>
          </w:r>
        </w:hyperlink>
      </w:r>
    </w:p>
    <w:p>
      <w:pPr>
        <w:autoSpaceDN w:val="0"/>
        <w:tabs>
          <w:tab w:pos="600" w:val="left"/>
        </w:tabs>
        <w:autoSpaceDE w:val="0"/>
        <w:widowControl/>
        <w:spacing w:line="288" w:lineRule="exact" w:before="64" w:after="0"/>
        <w:ind w:left="388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>Tips on re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searching Dutch archives can be found on the YouTube channel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Kennisnetwerk Informatie en Archief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Knowledge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Network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Information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and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Archives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•  Specifically for conducting research i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n the Natio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al Archi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v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es of the Ne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herl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ands ther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 is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research aid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How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do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conduct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research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in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archives?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(Dutch only).</w:t>
      </w:r>
    </w:p>
    <w:p>
      <w:pPr>
        <w:autoSpaceDN w:val="0"/>
        <w:autoSpaceDE w:val="0"/>
        <w:widowControl/>
        <w:spacing w:line="538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4" w:after="0"/>
        <w:ind w:left="388" w:right="705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Reporting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Sources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Select a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nd delineate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University collection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</w:t>
      </w:r>
    </w:p>
    <w:p>
      <w:pPr>
        <w:autoSpaceDN w:val="0"/>
        <w:autoSpaceDE w:val="0"/>
        <w:widowControl/>
        <w:spacing w:line="288" w:lineRule="exact" w:before="240" w:after="0"/>
        <w:ind w:left="0" w:right="3744" w:firstLine="0"/>
        <w:jc w:val="center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first edited by Wiebe Reints as original_author on 2024-04-25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Wiebe Reints as original_author on 2025-12-12</w:t>
      </w:r>
    </w:p>
    <w:sectPr w:rsidR="00FC693F" w:rsidRPr="0006063C" w:rsidSect="00034616">
      <w:pgSz w:w="11900" w:h="16840"/>
      <w:pgMar w:top="324" w:right="940" w:bottom="144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3mb4k8bvt6xe4.cloudfront.net/2022-03/Clues_Final_Report_PPROCE.pdf" TargetMode="External"/><Relationship Id="rId10" Type="http://schemas.openxmlformats.org/officeDocument/2006/relationships/hyperlink" Target="https://english.cultureelerfgoed.nl/documents/2025/01/01/provenance-research-into-collections-from-a-colonial-context---a-guide" TargetMode="External"/><Relationship Id="rId11" Type="http://schemas.openxmlformats.org/officeDocument/2006/relationships/hyperlink" Target="https://app.colonialcollections.nl/en/research-aids/https%3A%2F%2Fn2t%252Enet%2Fark%3A%2F27023%2F2fbf96b4890fa2e37c7c711f524753c6" TargetMode="External"/><Relationship Id="rId12" Type="http://schemas.openxmlformats.org/officeDocument/2006/relationships/hyperlink" Target="https://www.youtube.com/@platformkia" TargetMode="External"/><Relationship Id="rId13" Type="http://schemas.openxmlformats.org/officeDocument/2006/relationships/hyperlink" Target="https://www.nationaalarchief.nl/onderzoeken/hoe-doe-ik-onderzoek-in-archieven" TargetMode="External"/><Relationship Id="rId14" Type="http://schemas.openxmlformats.org/officeDocument/2006/relationships/hyperlink" Target="https://app.colonialcollections.nl/en/research-aids/https%3A%2F%2Fn2t%252Enet%2Fark%3A%2F27023%2F5f0031f66044adefab19b67b1344b31d" TargetMode="External"/><Relationship Id="rId15" Type="http://schemas.openxmlformats.org/officeDocument/2006/relationships/hyperlink" Target="https://www.niod.nl/en/publications/clues-PPROCE" TargetMode="External"/><Relationship Id="rId16" Type="http://schemas.openxmlformats.org/officeDocument/2006/relationships/hyperlink" Target="https://search.worldcat.org/title/The-AAM-guide-to-provenance-research/oclc/46671065" TargetMode="External"/><Relationship Id="rId17" Type="http://schemas.openxmlformats.org/officeDocument/2006/relationships/hyperlink" Target="https://www.museumsbund.de/publikationen/guidelines-on-dealing-with-collections-from-colonial-contexts-2/" TargetMode="External"/><Relationship Id="rId18" Type="http://schemas.openxmlformats.org/officeDocument/2006/relationships/hyperlink" Target="https://www.museumsbund.de/wp-content/uploads/2017/04/2013-recommendations-for-the-care-of-human-remains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